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44052A">
      <w:pPr>
        <w:spacing w:line="360" w:lineRule="auto"/>
        <w:jc w:val="center"/>
        <w:rPr>
          <w:rFonts w:hint="eastAsia" w:ascii="宋体" w:hAnsi="宋体" w:eastAsia="宋体" w:cs="宋体"/>
          <w:b/>
          <w:color w:val="auto"/>
          <w:sz w:val="72"/>
          <w:szCs w:val="72"/>
          <w:lang w:val="en-US" w:eastAsia="zh-CN"/>
          <w14:shadow w14:blurRad="50800" w14:dist="38100" w14:dir="2700000" w14:sx="100000" w14:sy="100000" w14:kx="0" w14:ky="0" w14:algn="tl">
            <w14:srgbClr w14:val="000000">
              <w14:alpha w14:val="60000"/>
            </w14:srgbClr>
          </w14:shadow>
        </w:rPr>
      </w:pPr>
    </w:p>
    <w:p w14:paraId="3A7DFD0C">
      <w:pPr>
        <w:spacing w:line="360" w:lineRule="auto"/>
        <w:jc w:val="center"/>
        <w:rPr>
          <w:rFonts w:hint="eastAsia" w:ascii="宋体" w:hAnsi="宋体" w:eastAsia="宋体" w:cs="宋体"/>
          <w:b/>
          <w:color w:val="auto"/>
          <w:sz w:val="72"/>
          <w:szCs w:val="72"/>
          <w:lang w:val="en-US" w:eastAsia="zh-CN"/>
          <w14:shadow w14:blurRad="50800" w14:dist="38100" w14:dir="2700000" w14:sx="100000" w14:sy="100000" w14:kx="0" w14:ky="0" w14:algn="tl">
            <w14:srgbClr w14:val="000000">
              <w14:alpha w14:val="60000"/>
            </w14:srgbClr>
          </w14:shadow>
        </w:rPr>
      </w:pPr>
    </w:p>
    <w:p w14:paraId="05A4CAA6">
      <w:pPr>
        <w:spacing w:line="360" w:lineRule="auto"/>
        <w:jc w:val="center"/>
        <w:rPr>
          <w:rFonts w:hint="eastAsia" w:ascii="宋体" w:hAnsi="宋体" w:eastAsia="宋体" w:cs="宋体"/>
          <w:b/>
          <w:color w:val="auto"/>
          <w:sz w:val="72"/>
          <w:szCs w:val="72"/>
          <w14:shadow w14:blurRad="50800" w14:dist="38100" w14:dir="2700000" w14:sx="100000" w14:sy="100000" w14:kx="0" w14:ky="0" w14:algn="tl">
            <w14:srgbClr w14:val="000000">
              <w14:alpha w14:val="60000"/>
            </w14:srgbClr>
          </w14:shadow>
        </w:rPr>
      </w:pPr>
      <w:r>
        <w:rPr>
          <w:rFonts w:hint="eastAsia" w:ascii="宋体" w:hAnsi="宋体" w:eastAsia="宋体" w:cs="宋体"/>
          <w:b/>
          <w:color w:val="auto"/>
          <w:sz w:val="72"/>
          <w:szCs w:val="72"/>
          <w:lang w:val="en-US" w:eastAsia="zh-CN"/>
          <w14:shadow w14:blurRad="50800" w14:dist="38100" w14:dir="2700000" w14:sx="100000" w14:sy="100000" w14:kx="0" w14:ky="0" w14:algn="tl">
            <w14:srgbClr w14:val="000000">
              <w14:alpha w14:val="60000"/>
            </w14:srgbClr>
          </w14:shadow>
        </w:rPr>
        <w:t>招标说明</w:t>
      </w:r>
      <w:bookmarkStart w:id="17" w:name="_GoBack"/>
      <w:bookmarkEnd w:id="17"/>
    </w:p>
    <w:p w14:paraId="46821BDC">
      <w:pPr>
        <w:rPr>
          <w:rFonts w:hint="eastAsia" w:ascii="宋体" w:hAnsi="宋体" w:eastAsia="宋体" w:cs="宋体"/>
          <w:color w:val="auto"/>
          <w:sz w:val="21"/>
          <w:szCs w:val="21"/>
        </w:rPr>
      </w:pPr>
    </w:p>
    <w:p w14:paraId="268790AB">
      <w:pPr>
        <w:rPr>
          <w:rFonts w:hint="eastAsia" w:ascii="宋体" w:hAnsi="宋体" w:eastAsia="宋体" w:cs="宋体"/>
          <w:color w:val="auto"/>
          <w:sz w:val="21"/>
          <w:szCs w:val="21"/>
        </w:rPr>
      </w:pPr>
    </w:p>
    <w:p w14:paraId="0F0DF5B3">
      <w:pPr>
        <w:rPr>
          <w:rFonts w:hint="eastAsia" w:ascii="宋体" w:hAnsi="宋体" w:eastAsia="宋体" w:cs="宋体"/>
          <w:color w:val="auto"/>
          <w:sz w:val="21"/>
          <w:szCs w:val="21"/>
        </w:rPr>
      </w:pPr>
    </w:p>
    <w:p w14:paraId="44A49900">
      <w:pPr>
        <w:rPr>
          <w:rFonts w:hint="eastAsia" w:ascii="宋体" w:hAnsi="宋体" w:eastAsia="宋体" w:cs="宋体"/>
          <w:color w:val="auto"/>
          <w:sz w:val="21"/>
          <w:szCs w:val="21"/>
        </w:rPr>
      </w:pPr>
    </w:p>
    <w:p w14:paraId="29BB61FF">
      <w:pPr>
        <w:rPr>
          <w:rFonts w:hint="eastAsia" w:ascii="宋体" w:hAnsi="宋体" w:eastAsia="宋体" w:cs="宋体"/>
          <w:color w:val="auto"/>
          <w:sz w:val="21"/>
          <w:szCs w:val="21"/>
        </w:rPr>
      </w:pPr>
    </w:p>
    <w:p w14:paraId="613A0369">
      <w:pPr>
        <w:pStyle w:val="2"/>
        <w:outlineLvl w:val="9"/>
        <w:rPr>
          <w:rFonts w:hint="eastAsia" w:ascii="宋体" w:hAnsi="宋体" w:eastAsia="宋体" w:cs="宋体"/>
          <w:color w:val="auto"/>
          <w:sz w:val="21"/>
          <w:szCs w:val="21"/>
        </w:rPr>
      </w:pPr>
    </w:p>
    <w:p w14:paraId="027E261C">
      <w:pPr>
        <w:rPr>
          <w:rFonts w:hint="eastAsia" w:ascii="宋体" w:hAnsi="宋体" w:eastAsia="宋体" w:cs="宋体"/>
          <w:color w:val="auto"/>
          <w:sz w:val="21"/>
          <w:szCs w:val="21"/>
        </w:rPr>
      </w:pPr>
    </w:p>
    <w:p w14:paraId="4BEF9D92">
      <w:pPr>
        <w:pStyle w:val="2"/>
        <w:outlineLvl w:val="9"/>
        <w:rPr>
          <w:rFonts w:hint="eastAsia" w:ascii="宋体" w:hAnsi="宋体" w:eastAsia="宋体" w:cs="宋体"/>
          <w:color w:val="auto"/>
          <w:sz w:val="21"/>
          <w:szCs w:val="21"/>
        </w:rPr>
      </w:pPr>
    </w:p>
    <w:p w14:paraId="2938D0DF">
      <w:pPr>
        <w:rPr>
          <w:rFonts w:hint="eastAsia" w:ascii="宋体" w:hAnsi="宋体" w:eastAsia="宋体" w:cs="宋体"/>
          <w:color w:val="auto"/>
          <w:sz w:val="21"/>
          <w:szCs w:val="21"/>
        </w:rPr>
      </w:pPr>
    </w:p>
    <w:p w14:paraId="19129CA9">
      <w:pPr>
        <w:pStyle w:val="2"/>
        <w:outlineLvl w:val="9"/>
        <w:rPr>
          <w:rFonts w:hint="eastAsia"/>
          <w:color w:val="auto"/>
        </w:rPr>
      </w:pPr>
    </w:p>
    <w:p w14:paraId="2CFF9E7F">
      <w:pPr>
        <w:rPr>
          <w:rFonts w:hint="eastAsia" w:ascii="宋体" w:hAnsi="宋体" w:eastAsia="宋体" w:cs="宋体"/>
          <w:color w:val="auto"/>
          <w:sz w:val="21"/>
          <w:szCs w:val="21"/>
        </w:rPr>
      </w:pPr>
    </w:p>
    <w:p w14:paraId="0C3A31F4">
      <w:pPr>
        <w:spacing w:line="360" w:lineRule="auto"/>
        <w:ind w:left="1260"/>
        <w:rPr>
          <w:rFonts w:hint="eastAsia" w:ascii="宋体" w:hAnsi="宋体" w:eastAsia="宋体" w:cs="宋体"/>
          <w:b/>
          <w:color w:val="auto"/>
          <w:spacing w:val="10"/>
          <w:sz w:val="21"/>
          <w:szCs w:val="21"/>
        </w:rPr>
      </w:pPr>
      <w:r>
        <w:rPr>
          <w:rFonts w:hint="eastAsia" w:ascii="宋体" w:hAnsi="宋体" w:eastAsia="宋体" w:cs="宋体"/>
          <w:b/>
          <w:color w:val="auto"/>
          <w:spacing w:val="10"/>
          <w:sz w:val="21"/>
          <w:szCs w:val="21"/>
        </w:rPr>
        <w:t xml:space="preserve">招标人： 深圳龙电华鑫控股集团股份有限公司                  </w:t>
      </w:r>
    </w:p>
    <w:p w14:paraId="7053CB52">
      <w:pPr>
        <w:spacing w:line="360" w:lineRule="auto"/>
        <w:ind w:left="1260"/>
        <w:rPr>
          <w:rFonts w:hint="eastAsia" w:ascii="宋体" w:hAnsi="宋体" w:eastAsia="宋体" w:cs="宋体"/>
          <w:b/>
          <w:color w:val="auto"/>
          <w:spacing w:val="10"/>
          <w:sz w:val="21"/>
          <w:szCs w:val="21"/>
        </w:rPr>
      </w:pPr>
      <w:r>
        <w:rPr>
          <w:rFonts w:hint="eastAsia" w:ascii="宋体" w:hAnsi="宋体" w:eastAsia="宋体" w:cs="宋体"/>
          <w:b/>
          <w:color w:val="auto"/>
          <w:spacing w:val="10"/>
          <w:sz w:val="21"/>
          <w:szCs w:val="21"/>
        </w:rPr>
        <w:t xml:space="preserve">项目名称：燕罗智能网联汽车产业园4栋6F、7F厂房装修工程   </w:t>
      </w:r>
    </w:p>
    <w:p w14:paraId="683AB319">
      <w:pPr>
        <w:spacing w:line="360" w:lineRule="auto"/>
        <w:ind w:left="1260"/>
        <w:rPr>
          <w:rFonts w:hint="eastAsia" w:ascii="宋体" w:hAnsi="宋体" w:eastAsia="宋体" w:cs="宋体"/>
          <w:b/>
          <w:color w:val="auto"/>
          <w:spacing w:val="10"/>
          <w:sz w:val="21"/>
          <w:szCs w:val="21"/>
        </w:rPr>
      </w:pPr>
      <w:r>
        <w:rPr>
          <w:rFonts w:hint="eastAsia" w:ascii="宋体" w:hAnsi="宋体" w:eastAsia="宋体" w:cs="宋体"/>
          <w:b/>
          <w:color w:val="auto"/>
          <w:spacing w:val="10"/>
          <w:sz w:val="21"/>
          <w:szCs w:val="21"/>
        </w:rPr>
        <w:t>招标编号：</w:t>
      </w:r>
      <w:r>
        <w:rPr>
          <w:rFonts w:hint="eastAsia" w:asciiTheme="minorEastAsia" w:hAnsiTheme="minorEastAsia"/>
          <w:b/>
          <w:spacing w:val="10"/>
          <w:sz w:val="28"/>
          <w:szCs w:val="28"/>
          <w:u w:val="none"/>
        </w:rPr>
        <w:t xml:space="preserve"> </w:t>
      </w:r>
      <w:r>
        <w:rPr>
          <w:rFonts w:hint="eastAsia" w:ascii="宋体" w:hAnsi="宋体" w:eastAsia="宋体" w:cs="宋体"/>
          <w:b/>
          <w:color w:val="auto"/>
          <w:spacing w:val="10"/>
          <w:sz w:val="21"/>
          <w:szCs w:val="21"/>
        </w:rPr>
        <w:t>SLD-CG202</w:t>
      </w:r>
      <w:r>
        <w:rPr>
          <w:rFonts w:hint="eastAsia" w:ascii="宋体" w:hAnsi="宋体" w:eastAsia="宋体" w:cs="宋体"/>
          <w:b/>
          <w:color w:val="auto"/>
          <w:spacing w:val="10"/>
          <w:sz w:val="21"/>
          <w:szCs w:val="21"/>
          <w:lang w:val="en-US" w:eastAsia="zh-CN"/>
        </w:rPr>
        <w:t>50501</w:t>
      </w:r>
      <w:r>
        <w:rPr>
          <w:rFonts w:hint="eastAsia" w:ascii="宋体" w:hAnsi="宋体" w:eastAsia="宋体" w:cs="宋体"/>
          <w:b/>
          <w:color w:val="auto"/>
          <w:spacing w:val="10"/>
          <w:sz w:val="21"/>
          <w:szCs w:val="21"/>
        </w:rPr>
        <w:t>001</w:t>
      </w:r>
      <w:r>
        <w:rPr>
          <w:rFonts w:hint="eastAsia" w:ascii="宋体" w:hAnsi="宋体" w:eastAsia="宋体" w:cs="宋体"/>
          <w:b/>
          <w:color w:val="auto"/>
          <w:spacing w:val="10"/>
          <w:sz w:val="21"/>
          <w:szCs w:val="21"/>
        </w:rPr>
        <w:t xml:space="preserve">     </w:t>
      </w:r>
    </w:p>
    <w:p w14:paraId="202A88F4">
      <w:pPr>
        <w:pStyle w:val="2"/>
        <w:outlineLvl w:val="9"/>
        <w:rPr>
          <w:rFonts w:hint="eastAsia" w:ascii="宋体" w:hAnsi="宋体" w:eastAsia="宋体" w:cs="宋体"/>
          <w:b/>
          <w:color w:val="auto"/>
          <w:spacing w:val="10"/>
          <w:sz w:val="21"/>
          <w:szCs w:val="21"/>
        </w:rPr>
      </w:pPr>
    </w:p>
    <w:p w14:paraId="35897210">
      <w:pPr>
        <w:rPr>
          <w:rFonts w:hint="eastAsia" w:ascii="宋体" w:hAnsi="宋体" w:eastAsia="宋体" w:cs="宋体"/>
          <w:b/>
          <w:color w:val="auto"/>
          <w:spacing w:val="10"/>
          <w:sz w:val="21"/>
          <w:szCs w:val="21"/>
        </w:rPr>
      </w:pPr>
    </w:p>
    <w:p w14:paraId="275689CD">
      <w:pPr>
        <w:pStyle w:val="2"/>
        <w:outlineLvl w:val="9"/>
        <w:rPr>
          <w:rFonts w:hint="eastAsia"/>
          <w:color w:val="auto"/>
        </w:rPr>
      </w:pPr>
    </w:p>
    <w:p w14:paraId="73D4FE37">
      <w:pPr>
        <w:rPr>
          <w:rFonts w:hint="eastAsia" w:ascii="宋体" w:hAnsi="宋体" w:eastAsia="宋体" w:cs="宋体"/>
          <w:color w:val="auto"/>
          <w:sz w:val="21"/>
          <w:szCs w:val="21"/>
        </w:rPr>
      </w:pPr>
    </w:p>
    <w:sdt>
      <w:sdtPr>
        <w:rPr>
          <w:rFonts w:ascii="宋体" w:hAnsi="宋体" w:eastAsia="宋体" w:cstheme="minorBidi"/>
          <w:color w:val="auto"/>
          <w:kern w:val="2"/>
          <w:sz w:val="21"/>
          <w:szCs w:val="24"/>
          <w:lang w:val="en-US" w:eastAsia="zh-CN" w:bidi="ar-SA"/>
        </w:rPr>
        <w:id w:val="147455007"/>
        <w15:color w:val="DBDBDB"/>
        <w:docPartObj>
          <w:docPartGallery w:val="Table of Contents"/>
          <w:docPartUnique/>
        </w:docPartObj>
      </w:sdtPr>
      <w:sdtEndPr>
        <w:rPr>
          <w:rFonts w:hint="eastAsia" w:ascii="宋体" w:hAnsi="宋体" w:eastAsia="宋体" w:cs="宋体"/>
          <w:color w:val="auto"/>
          <w:kern w:val="2"/>
          <w:sz w:val="21"/>
          <w:szCs w:val="21"/>
          <w:lang w:val="en-US" w:eastAsia="zh-CN" w:bidi="ar-SA"/>
        </w:rPr>
      </w:sdtEndPr>
      <w:sdtContent>
        <w:p w14:paraId="282765EE">
          <w:pPr>
            <w:spacing w:before="0" w:beforeLines="0" w:after="0" w:afterLines="0" w:line="240" w:lineRule="auto"/>
            <w:ind w:left="0" w:leftChars="0" w:right="0" w:rightChars="0" w:firstLine="0" w:firstLineChars="0"/>
            <w:jc w:val="center"/>
            <w:rPr>
              <w:rFonts w:ascii="宋体" w:hAnsi="宋体" w:eastAsia="宋体"/>
              <w:b/>
              <w:bCs/>
              <w:color w:val="auto"/>
              <w:sz w:val="21"/>
            </w:rPr>
          </w:pPr>
          <w:r>
            <w:rPr>
              <w:rFonts w:ascii="宋体" w:hAnsi="宋体" w:eastAsia="宋体"/>
              <w:b/>
              <w:bCs/>
              <w:color w:val="auto"/>
              <w:sz w:val="21"/>
            </w:rPr>
            <w:t>目录</w:t>
          </w:r>
        </w:p>
        <w:p w14:paraId="7358E8CA">
          <w:pPr>
            <w:pStyle w:val="2"/>
            <w:rPr>
              <w:color w:val="auto"/>
            </w:rPr>
          </w:pPr>
        </w:p>
        <w:p w14:paraId="606F1D14">
          <w:pPr>
            <w:pStyle w:val="9"/>
            <w:tabs>
              <w:tab w:val="right" w:leader="dot" w:pos="8306"/>
            </w:tabs>
            <w:rPr>
              <w:color w:val="auto"/>
            </w:rPr>
          </w:pP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TOC \o "1-3" \h \u </w:instrText>
          </w:r>
          <w:r>
            <w:rPr>
              <w:rFonts w:hint="eastAsia" w:ascii="宋体" w:hAnsi="宋体" w:eastAsia="宋体" w:cs="宋体"/>
              <w:color w:val="auto"/>
              <w:sz w:val="21"/>
              <w:szCs w:val="21"/>
            </w:rPr>
            <w:fldChar w:fldCharType="separate"/>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HYPERLINK \l _Toc20819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 xml:space="preserve">第一章 </w:t>
          </w:r>
          <w:r>
            <w:rPr>
              <w:rFonts w:hint="eastAsia" w:ascii="宋体" w:hAnsi="宋体" w:eastAsia="宋体" w:cs="宋体"/>
              <w:color w:val="auto"/>
              <w:szCs w:val="21"/>
              <w:lang w:val="en-US" w:eastAsia="zh-CN"/>
            </w:rPr>
            <w:t>编制依据</w:t>
          </w:r>
          <w:r>
            <w:rPr>
              <w:rFonts w:hint="eastAsia" w:ascii="宋体" w:hAnsi="宋体" w:cs="宋体"/>
              <w:color w:val="auto"/>
              <w:szCs w:val="21"/>
              <w:lang w:val="en-US" w:eastAsia="zh-CN"/>
            </w:rPr>
            <w:t>及项目概况</w:t>
          </w:r>
          <w:r>
            <w:rPr>
              <w:color w:val="auto"/>
            </w:rPr>
            <w:tab/>
          </w:r>
          <w:r>
            <w:rPr>
              <w:color w:val="auto"/>
            </w:rPr>
            <w:fldChar w:fldCharType="begin"/>
          </w:r>
          <w:r>
            <w:rPr>
              <w:color w:val="auto"/>
            </w:rPr>
            <w:instrText xml:space="preserve"> PAGEREF _Toc20819 </w:instrText>
          </w:r>
          <w:r>
            <w:rPr>
              <w:color w:val="auto"/>
            </w:rPr>
            <w:fldChar w:fldCharType="separate"/>
          </w:r>
          <w:r>
            <w:rPr>
              <w:color w:val="auto"/>
            </w:rPr>
            <w:t>2</w:t>
          </w:r>
          <w:r>
            <w:rPr>
              <w:color w:val="auto"/>
            </w:rPr>
            <w:fldChar w:fldCharType="end"/>
          </w:r>
          <w:r>
            <w:rPr>
              <w:rFonts w:hint="eastAsia" w:ascii="宋体" w:hAnsi="宋体" w:eastAsia="宋体" w:cs="宋体"/>
              <w:color w:val="auto"/>
              <w:szCs w:val="21"/>
            </w:rPr>
            <w:fldChar w:fldCharType="end"/>
          </w:r>
        </w:p>
        <w:p w14:paraId="13AEA113">
          <w:pPr>
            <w:pStyle w:val="9"/>
            <w:tabs>
              <w:tab w:val="right" w:leader="dot" w:pos="8306"/>
            </w:tabs>
            <w:rPr>
              <w:color w:val="auto"/>
            </w:rPr>
          </w:pP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HYPERLINK \l _Toc2737 </w:instrText>
          </w:r>
          <w:r>
            <w:rPr>
              <w:rFonts w:hint="eastAsia" w:ascii="宋体" w:hAnsi="宋体" w:eastAsia="宋体" w:cs="宋体"/>
              <w:color w:val="auto"/>
              <w:szCs w:val="21"/>
            </w:rPr>
            <w:fldChar w:fldCharType="separate"/>
          </w:r>
          <w:r>
            <w:rPr>
              <w:rFonts w:hint="eastAsia" w:ascii="宋体" w:hAnsi="宋体" w:eastAsia="宋体" w:cs="宋体"/>
              <w:bCs/>
              <w:i w:val="0"/>
              <w:iCs w:val="0"/>
              <w:color w:val="auto"/>
              <w:szCs w:val="21"/>
              <w:lang w:val="en-US" w:eastAsia="zh-CN"/>
            </w:rPr>
            <w:t xml:space="preserve">第二章 </w:t>
          </w:r>
          <w:r>
            <w:rPr>
              <w:rFonts w:hint="eastAsia" w:ascii="宋体" w:hAnsi="宋体" w:eastAsia="宋体" w:cs="宋体"/>
              <w:bCs/>
              <w:i w:val="0"/>
              <w:iCs w:val="0"/>
              <w:color w:val="auto"/>
              <w:szCs w:val="21"/>
            </w:rPr>
            <w:t>重要分项工程的</w:t>
          </w:r>
          <w:r>
            <w:rPr>
              <w:rFonts w:hint="eastAsia" w:ascii="宋体" w:hAnsi="宋体" w:eastAsia="宋体" w:cs="宋体"/>
              <w:bCs/>
              <w:i w:val="0"/>
              <w:iCs w:val="0"/>
              <w:color w:val="auto"/>
              <w:szCs w:val="21"/>
              <w:lang w:val="en-US" w:eastAsia="zh-CN"/>
            </w:rPr>
            <w:t>设计要求</w:t>
          </w:r>
          <w:r>
            <w:rPr>
              <w:color w:val="auto"/>
            </w:rPr>
            <w:tab/>
          </w:r>
          <w:r>
            <w:rPr>
              <w:color w:val="auto"/>
            </w:rPr>
            <w:fldChar w:fldCharType="begin"/>
          </w:r>
          <w:r>
            <w:rPr>
              <w:color w:val="auto"/>
            </w:rPr>
            <w:instrText xml:space="preserve"> PAGEREF _Toc2737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1"/>
            </w:rPr>
            <w:fldChar w:fldCharType="end"/>
          </w:r>
        </w:p>
        <w:p w14:paraId="1507D76F">
          <w:pPr>
            <w:pStyle w:val="10"/>
            <w:tabs>
              <w:tab w:val="right" w:leader="dot" w:pos="8306"/>
            </w:tabs>
            <w:rPr>
              <w:color w:val="auto"/>
            </w:rPr>
          </w:pP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HYPERLINK \l _Toc30294 </w:instrText>
          </w:r>
          <w:r>
            <w:rPr>
              <w:rFonts w:hint="eastAsia" w:ascii="宋体" w:hAnsi="宋体" w:eastAsia="宋体" w:cs="宋体"/>
              <w:color w:val="auto"/>
              <w:szCs w:val="21"/>
            </w:rPr>
            <w:fldChar w:fldCharType="separate"/>
          </w:r>
          <w:r>
            <w:rPr>
              <w:rFonts w:hint="eastAsia"/>
              <w:bCs/>
              <w:color w:val="auto"/>
              <w:lang w:val="en-US" w:eastAsia="zh-CN"/>
            </w:rPr>
            <w:t xml:space="preserve">1. </w:t>
          </w:r>
          <w:r>
            <w:rPr>
              <w:rFonts w:hint="eastAsia" w:ascii="宋体" w:hAnsi="宋体" w:eastAsia="宋体" w:cs="宋体"/>
              <w:bCs/>
              <w:color w:val="auto"/>
              <w:szCs w:val="21"/>
              <w:lang w:val="en-US" w:eastAsia="zh-CN"/>
            </w:rPr>
            <w:t>装配车间</w:t>
          </w:r>
          <w:r>
            <w:rPr>
              <w:rFonts w:hint="eastAsia" w:ascii="宋体" w:hAnsi="宋体" w:eastAsia="宋体" w:cs="宋体"/>
              <w:bCs/>
              <w:color w:val="auto"/>
              <w:szCs w:val="21"/>
            </w:rPr>
            <w:t>地面材料</w:t>
          </w:r>
          <w:r>
            <w:rPr>
              <w:rFonts w:hint="eastAsia" w:ascii="宋体" w:hAnsi="宋体" w:eastAsia="宋体" w:cs="宋体"/>
              <w:bCs/>
              <w:color w:val="auto"/>
              <w:szCs w:val="21"/>
              <w:lang w:val="en-US" w:eastAsia="zh-CN"/>
            </w:rPr>
            <w:t>参数与施工说明</w:t>
          </w:r>
          <w:r>
            <w:rPr>
              <w:color w:val="auto"/>
            </w:rPr>
            <w:tab/>
          </w:r>
          <w:r>
            <w:rPr>
              <w:color w:val="auto"/>
            </w:rPr>
            <w:fldChar w:fldCharType="begin"/>
          </w:r>
          <w:r>
            <w:rPr>
              <w:color w:val="auto"/>
            </w:rPr>
            <w:instrText xml:space="preserve"> PAGEREF _Toc30294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1"/>
            </w:rPr>
            <w:fldChar w:fldCharType="end"/>
          </w:r>
        </w:p>
        <w:p w14:paraId="08D5B080">
          <w:pPr>
            <w:pStyle w:val="10"/>
            <w:tabs>
              <w:tab w:val="right" w:leader="dot" w:pos="8306"/>
            </w:tabs>
            <w:rPr>
              <w:color w:val="auto"/>
            </w:rPr>
          </w:pP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HYPERLINK \l _Toc2265 </w:instrText>
          </w:r>
          <w:r>
            <w:rPr>
              <w:rFonts w:hint="eastAsia" w:ascii="宋体" w:hAnsi="宋体" w:eastAsia="宋体" w:cs="宋体"/>
              <w:color w:val="auto"/>
              <w:szCs w:val="21"/>
            </w:rPr>
            <w:fldChar w:fldCharType="separate"/>
          </w:r>
          <w:r>
            <w:rPr>
              <w:rFonts w:hint="eastAsia" w:ascii="宋体" w:hAnsi="宋体" w:eastAsia="宋体" w:cs="宋体"/>
              <w:bCs/>
              <w:color w:val="auto"/>
              <w:szCs w:val="21"/>
              <w:lang w:val="en-US" w:eastAsia="zh-CN"/>
            </w:rPr>
            <w:t>2. 净化洁净车间设计参数与说明</w:t>
          </w:r>
          <w:r>
            <w:rPr>
              <w:color w:val="auto"/>
            </w:rPr>
            <w:tab/>
          </w:r>
          <w:r>
            <w:rPr>
              <w:color w:val="auto"/>
            </w:rPr>
            <w:fldChar w:fldCharType="begin"/>
          </w:r>
          <w:r>
            <w:rPr>
              <w:color w:val="auto"/>
            </w:rPr>
            <w:instrText xml:space="preserve"> PAGEREF _Toc2265 </w:instrText>
          </w:r>
          <w:r>
            <w:rPr>
              <w:color w:val="auto"/>
            </w:rPr>
            <w:fldChar w:fldCharType="separate"/>
          </w:r>
          <w:r>
            <w:rPr>
              <w:color w:val="auto"/>
            </w:rPr>
            <w:t>4</w:t>
          </w:r>
          <w:r>
            <w:rPr>
              <w:color w:val="auto"/>
            </w:rPr>
            <w:fldChar w:fldCharType="end"/>
          </w:r>
          <w:r>
            <w:rPr>
              <w:rFonts w:hint="eastAsia" w:ascii="宋体" w:hAnsi="宋体" w:eastAsia="宋体" w:cs="宋体"/>
              <w:color w:val="auto"/>
              <w:szCs w:val="21"/>
            </w:rPr>
            <w:fldChar w:fldCharType="end"/>
          </w:r>
        </w:p>
        <w:p w14:paraId="13C68860">
          <w:pPr>
            <w:pStyle w:val="10"/>
            <w:tabs>
              <w:tab w:val="right" w:leader="dot" w:pos="8306"/>
            </w:tabs>
            <w:rPr>
              <w:color w:val="auto"/>
            </w:rPr>
          </w:pP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HYPERLINK \l _Toc15082 </w:instrText>
          </w:r>
          <w:r>
            <w:rPr>
              <w:rFonts w:hint="eastAsia" w:ascii="宋体" w:hAnsi="宋体" w:eastAsia="宋体" w:cs="宋体"/>
              <w:color w:val="auto"/>
              <w:szCs w:val="21"/>
            </w:rPr>
            <w:fldChar w:fldCharType="separate"/>
          </w:r>
          <w:r>
            <w:rPr>
              <w:rFonts w:hint="eastAsia" w:ascii="宋体" w:hAnsi="宋体" w:eastAsia="宋体" w:cs="宋体"/>
              <w:color w:val="auto"/>
              <w:kern w:val="0"/>
              <w:szCs w:val="21"/>
              <w:lang w:val="en-US" w:eastAsia="zh-CN" w:bidi="ar"/>
            </w:rPr>
            <w:t>3. 基础放线说明</w:t>
          </w:r>
          <w:r>
            <w:rPr>
              <w:color w:val="auto"/>
            </w:rPr>
            <w:tab/>
          </w:r>
          <w:r>
            <w:rPr>
              <w:color w:val="auto"/>
            </w:rPr>
            <w:fldChar w:fldCharType="begin"/>
          </w:r>
          <w:r>
            <w:rPr>
              <w:color w:val="auto"/>
            </w:rPr>
            <w:instrText xml:space="preserve"> PAGEREF _Toc15082 </w:instrText>
          </w:r>
          <w:r>
            <w:rPr>
              <w:color w:val="auto"/>
            </w:rPr>
            <w:fldChar w:fldCharType="separate"/>
          </w:r>
          <w:r>
            <w:rPr>
              <w:color w:val="auto"/>
            </w:rPr>
            <w:t>5</w:t>
          </w:r>
          <w:r>
            <w:rPr>
              <w:color w:val="auto"/>
            </w:rPr>
            <w:fldChar w:fldCharType="end"/>
          </w:r>
          <w:r>
            <w:rPr>
              <w:rFonts w:hint="eastAsia" w:ascii="宋体" w:hAnsi="宋体" w:eastAsia="宋体" w:cs="宋体"/>
              <w:color w:val="auto"/>
              <w:szCs w:val="21"/>
            </w:rPr>
            <w:fldChar w:fldCharType="end"/>
          </w:r>
        </w:p>
        <w:p w14:paraId="2D9CF0F4">
          <w:pPr>
            <w:pStyle w:val="9"/>
            <w:tabs>
              <w:tab w:val="right" w:leader="dot" w:pos="8306"/>
            </w:tabs>
            <w:rPr>
              <w:color w:val="auto"/>
            </w:rPr>
          </w:pP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HYPERLINK \l _Toc27158 </w:instrText>
          </w:r>
          <w:r>
            <w:rPr>
              <w:rFonts w:hint="eastAsia" w:ascii="宋体" w:hAnsi="宋体" w:eastAsia="宋体" w:cs="宋体"/>
              <w:color w:val="auto"/>
              <w:szCs w:val="21"/>
            </w:rPr>
            <w:fldChar w:fldCharType="separate"/>
          </w:r>
          <w:r>
            <w:rPr>
              <w:rFonts w:hint="eastAsia" w:ascii="宋体" w:hAnsi="宋体" w:eastAsia="宋体" w:cs="宋体"/>
              <w:color w:val="auto"/>
              <w:kern w:val="0"/>
              <w:szCs w:val="21"/>
              <w:lang w:val="en-US" w:eastAsia="zh-CN" w:bidi="ar"/>
            </w:rPr>
            <w:t>第三章 施工技术标准和要求</w:t>
          </w:r>
          <w:r>
            <w:rPr>
              <w:color w:val="auto"/>
            </w:rPr>
            <w:tab/>
          </w:r>
          <w:r>
            <w:rPr>
              <w:color w:val="auto"/>
            </w:rPr>
            <w:fldChar w:fldCharType="begin"/>
          </w:r>
          <w:r>
            <w:rPr>
              <w:color w:val="auto"/>
            </w:rPr>
            <w:instrText xml:space="preserve"> PAGEREF _Toc27158 </w:instrText>
          </w:r>
          <w:r>
            <w:rPr>
              <w:color w:val="auto"/>
            </w:rPr>
            <w:fldChar w:fldCharType="separate"/>
          </w:r>
          <w:r>
            <w:rPr>
              <w:color w:val="auto"/>
            </w:rPr>
            <w:t>5</w:t>
          </w:r>
          <w:r>
            <w:rPr>
              <w:color w:val="auto"/>
            </w:rPr>
            <w:fldChar w:fldCharType="end"/>
          </w:r>
          <w:r>
            <w:rPr>
              <w:rFonts w:hint="eastAsia" w:ascii="宋体" w:hAnsi="宋体" w:eastAsia="宋体" w:cs="宋体"/>
              <w:color w:val="auto"/>
              <w:szCs w:val="21"/>
            </w:rPr>
            <w:fldChar w:fldCharType="end"/>
          </w:r>
        </w:p>
        <w:p w14:paraId="017BFA3C">
          <w:pPr>
            <w:pStyle w:val="10"/>
            <w:tabs>
              <w:tab w:val="right" w:leader="dot" w:pos="8306"/>
            </w:tabs>
            <w:rPr>
              <w:color w:val="auto"/>
            </w:rPr>
          </w:pP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HYPERLINK \l _Toc29656 </w:instrText>
          </w:r>
          <w:r>
            <w:rPr>
              <w:rFonts w:hint="eastAsia" w:ascii="宋体" w:hAnsi="宋体" w:eastAsia="宋体" w:cs="宋体"/>
              <w:color w:val="auto"/>
              <w:szCs w:val="21"/>
            </w:rPr>
            <w:fldChar w:fldCharType="separate"/>
          </w:r>
          <w:r>
            <w:rPr>
              <w:rFonts w:hint="eastAsia" w:ascii="宋体" w:hAnsi="宋体" w:eastAsia="宋体" w:cs="宋体"/>
              <w:b/>
              <w:bCs/>
              <w:color w:val="auto"/>
              <w:kern w:val="0"/>
              <w:sz w:val="21"/>
              <w:szCs w:val="21"/>
              <w:lang w:val="en-US" w:eastAsia="zh-CN" w:bidi="ar"/>
            </w:rPr>
            <w:t>附件</w:t>
          </w:r>
          <w:r>
            <w:rPr>
              <w:rFonts w:hint="eastAsia" w:ascii="宋体" w:hAnsi="宋体" w:eastAsia="宋体" w:cs="宋体"/>
              <w:color w:val="auto"/>
              <w:kern w:val="0"/>
              <w:sz w:val="21"/>
              <w:szCs w:val="21"/>
              <w:lang w:val="en-US" w:eastAsia="zh-CN" w:bidi="ar"/>
            </w:rPr>
            <w:t>：</w:t>
          </w:r>
          <w:r>
            <w:rPr>
              <w:rFonts w:hint="eastAsia" w:ascii="宋体" w:hAnsi="宋体" w:eastAsia="宋体" w:cs="宋体"/>
              <w:b/>
              <w:bCs/>
              <w:color w:val="auto"/>
              <w:kern w:val="0"/>
              <w:sz w:val="21"/>
              <w:szCs w:val="21"/>
              <w:lang w:val="en-US" w:eastAsia="zh-CN"/>
            </w:rPr>
            <w:t>装饰材料限定品牌范围表</w:t>
          </w:r>
          <w:r>
            <w:rPr>
              <w:color w:val="auto"/>
            </w:rPr>
            <w:tab/>
          </w:r>
          <w:r>
            <w:rPr>
              <w:color w:val="auto"/>
            </w:rPr>
            <w:fldChar w:fldCharType="begin"/>
          </w:r>
          <w:r>
            <w:rPr>
              <w:color w:val="auto"/>
            </w:rPr>
            <w:instrText xml:space="preserve"> PAGEREF _Toc29656 </w:instrText>
          </w:r>
          <w:r>
            <w:rPr>
              <w:color w:val="auto"/>
            </w:rPr>
            <w:fldChar w:fldCharType="separate"/>
          </w:r>
          <w:r>
            <w:rPr>
              <w:color w:val="auto"/>
            </w:rPr>
            <w:t>1</w:t>
          </w:r>
          <w:r>
            <w:rPr>
              <w:rFonts w:hint="eastAsia"/>
              <w:color w:val="auto"/>
              <w:lang w:val="en-US" w:eastAsia="zh-CN"/>
            </w:rPr>
            <w:t>2</w:t>
          </w:r>
          <w:r>
            <w:rPr>
              <w:color w:val="auto"/>
            </w:rPr>
            <w:fldChar w:fldCharType="end"/>
          </w:r>
          <w:r>
            <w:rPr>
              <w:rFonts w:hint="eastAsia" w:ascii="宋体" w:hAnsi="宋体" w:eastAsia="宋体" w:cs="宋体"/>
              <w:color w:val="auto"/>
              <w:szCs w:val="21"/>
            </w:rPr>
            <w:fldChar w:fldCharType="end"/>
          </w:r>
        </w:p>
        <w:p w14:paraId="72868621">
          <w:pPr>
            <w:pStyle w:val="10"/>
            <w:tabs>
              <w:tab w:val="right" w:leader="dot" w:pos="8306"/>
            </w:tabs>
            <w:rPr>
              <w:color w:val="auto"/>
            </w:rPr>
          </w:pPr>
        </w:p>
        <w:p w14:paraId="6DB4A40F">
          <w:pPr>
            <w:rPr>
              <w:rFonts w:hint="eastAsia" w:ascii="宋体" w:hAnsi="宋体" w:eastAsia="宋体" w:cs="宋体"/>
              <w:color w:val="auto"/>
              <w:sz w:val="21"/>
              <w:szCs w:val="21"/>
            </w:rPr>
          </w:pPr>
          <w:r>
            <w:rPr>
              <w:rFonts w:hint="eastAsia" w:ascii="宋体" w:hAnsi="宋体" w:eastAsia="宋体" w:cs="宋体"/>
              <w:color w:val="auto"/>
              <w:szCs w:val="21"/>
            </w:rPr>
            <w:fldChar w:fldCharType="end"/>
          </w:r>
        </w:p>
      </w:sdtContent>
    </w:sdt>
    <w:p w14:paraId="6CBFB4E5">
      <w:pPr>
        <w:pStyle w:val="2"/>
        <w:outlineLvl w:val="9"/>
        <w:rPr>
          <w:rFonts w:hint="eastAsia" w:ascii="宋体" w:hAnsi="宋体" w:eastAsia="宋体" w:cs="宋体"/>
          <w:color w:val="auto"/>
          <w:sz w:val="21"/>
          <w:szCs w:val="21"/>
        </w:rPr>
      </w:pPr>
    </w:p>
    <w:p w14:paraId="042E718E">
      <w:pPr>
        <w:rPr>
          <w:rFonts w:hint="eastAsia" w:ascii="宋体" w:hAnsi="宋体" w:eastAsia="宋体" w:cs="宋体"/>
          <w:color w:val="auto"/>
          <w:sz w:val="21"/>
          <w:szCs w:val="21"/>
        </w:rPr>
      </w:pPr>
    </w:p>
    <w:p w14:paraId="6B3BA045">
      <w:pPr>
        <w:pStyle w:val="2"/>
        <w:rPr>
          <w:rFonts w:hint="eastAsia" w:ascii="宋体" w:hAnsi="宋体" w:eastAsia="宋体" w:cs="宋体"/>
          <w:color w:val="auto"/>
          <w:sz w:val="21"/>
          <w:szCs w:val="21"/>
        </w:rPr>
      </w:pPr>
    </w:p>
    <w:p w14:paraId="380997A8">
      <w:pPr>
        <w:rPr>
          <w:rFonts w:hint="eastAsia" w:ascii="宋体" w:hAnsi="宋体" w:eastAsia="宋体" w:cs="宋体"/>
          <w:color w:val="auto"/>
          <w:sz w:val="21"/>
          <w:szCs w:val="21"/>
        </w:rPr>
      </w:pPr>
    </w:p>
    <w:p w14:paraId="2696D925">
      <w:pPr>
        <w:pStyle w:val="2"/>
        <w:rPr>
          <w:rFonts w:hint="eastAsia" w:ascii="宋体" w:hAnsi="宋体" w:eastAsia="宋体" w:cs="宋体"/>
          <w:color w:val="auto"/>
          <w:sz w:val="21"/>
          <w:szCs w:val="21"/>
        </w:rPr>
      </w:pPr>
    </w:p>
    <w:p w14:paraId="152D3C35">
      <w:pPr>
        <w:rPr>
          <w:rFonts w:hint="eastAsia" w:ascii="宋体" w:hAnsi="宋体" w:eastAsia="宋体" w:cs="宋体"/>
          <w:color w:val="auto"/>
          <w:sz w:val="21"/>
          <w:szCs w:val="21"/>
        </w:rPr>
      </w:pPr>
    </w:p>
    <w:p w14:paraId="2E4A8A94">
      <w:pPr>
        <w:pStyle w:val="2"/>
        <w:rPr>
          <w:rFonts w:hint="eastAsia"/>
          <w:color w:val="auto"/>
        </w:rPr>
      </w:pPr>
    </w:p>
    <w:p w14:paraId="099EA1E3">
      <w:pPr>
        <w:rPr>
          <w:rFonts w:hint="eastAsia"/>
          <w:color w:val="auto"/>
        </w:rPr>
      </w:pPr>
    </w:p>
    <w:p w14:paraId="6C579EB7">
      <w:pPr>
        <w:pStyle w:val="2"/>
        <w:ind w:firstLine="2741" w:firstLineChars="1300"/>
        <w:jc w:val="both"/>
        <w:rPr>
          <w:rFonts w:hint="default" w:ascii="宋体" w:hAnsi="宋体" w:eastAsia="宋体" w:cs="宋体"/>
          <w:color w:val="auto"/>
          <w:sz w:val="21"/>
          <w:szCs w:val="21"/>
          <w:lang w:val="en-US" w:eastAsia="zh-CN"/>
        </w:rPr>
      </w:pPr>
      <w:bookmarkStart w:id="0" w:name="_Toc20819"/>
      <w:r>
        <w:rPr>
          <w:rFonts w:hint="eastAsia" w:ascii="宋体" w:hAnsi="宋体" w:eastAsia="宋体" w:cs="宋体"/>
          <w:color w:val="auto"/>
          <w:sz w:val="21"/>
          <w:szCs w:val="21"/>
        </w:rPr>
        <w:t xml:space="preserve">第一章 </w:t>
      </w:r>
      <w:r>
        <w:rPr>
          <w:rFonts w:hint="eastAsia" w:ascii="宋体" w:hAnsi="宋体" w:eastAsia="宋体" w:cs="宋体"/>
          <w:color w:val="auto"/>
          <w:sz w:val="21"/>
          <w:szCs w:val="21"/>
          <w:lang w:val="en-US" w:eastAsia="zh-CN"/>
        </w:rPr>
        <w:t>编制依据</w:t>
      </w:r>
      <w:r>
        <w:rPr>
          <w:rFonts w:hint="eastAsia" w:ascii="宋体" w:hAnsi="宋体" w:cs="宋体"/>
          <w:color w:val="auto"/>
          <w:sz w:val="21"/>
          <w:szCs w:val="21"/>
          <w:lang w:val="en-US" w:eastAsia="zh-CN"/>
        </w:rPr>
        <w:t>及项目概况</w:t>
      </w:r>
      <w:bookmarkEnd w:id="0"/>
    </w:p>
    <w:p w14:paraId="31DC8FCB">
      <w:pPr>
        <w:pStyle w:val="1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本</w:t>
      </w:r>
      <w:r>
        <w:rPr>
          <w:rFonts w:hint="eastAsia" w:ascii="宋体" w:hAnsi="宋体" w:eastAsia="宋体" w:cs="宋体"/>
          <w:color w:val="auto"/>
          <w:sz w:val="21"/>
          <w:szCs w:val="21"/>
          <w:lang w:val="en-US" w:eastAsia="zh-CN"/>
        </w:rPr>
        <w:t>件</w:t>
      </w:r>
      <w:r>
        <w:rPr>
          <w:rFonts w:hint="eastAsia" w:ascii="宋体" w:hAnsi="宋体" w:eastAsia="宋体" w:cs="宋体"/>
          <w:color w:val="auto"/>
          <w:sz w:val="21"/>
          <w:szCs w:val="21"/>
        </w:rPr>
        <w:t>作为主导</w:t>
      </w:r>
      <w:r>
        <w:rPr>
          <w:rFonts w:hint="eastAsia" w:eastAsia="宋体" w:cs="宋体"/>
          <w:color w:val="auto"/>
          <w:sz w:val="21"/>
          <w:szCs w:val="21"/>
          <w:lang w:val="en-US" w:eastAsia="zh-CN"/>
        </w:rPr>
        <w:t>设计及</w:t>
      </w:r>
      <w:r>
        <w:rPr>
          <w:rFonts w:hint="eastAsia" w:ascii="宋体" w:hAnsi="宋体" w:eastAsia="宋体" w:cs="宋体"/>
          <w:color w:val="auto"/>
          <w:sz w:val="21"/>
          <w:szCs w:val="21"/>
        </w:rPr>
        <w:t>施工的依据，编制时对主要分部</w:t>
      </w:r>
      <w:r>
        <w:rPr>
          <w:rFonts w:hint="eastAsia" w:ascii="宋体" w:hAnsi="宋体" w:eastAsia="宋体" w:cs="宋体"/>
          <w:color w:val="auto"/>
          <w:sz w:val="21"/>
          <w:szCs w:val="21"/>
          <w:lang w:val="en-US" w:eastAsia="zh-CN"/>
        </w:rPr>
        <w:t>及</w:t>
      </w:r>
      <w:r>
        <w:rPr>
          <w:rFonts w:hint="eastAsia" w:ascii="宋体" w:hAnsi="宋体" w:eastAsia="宋体" w:cs="宋体"/>
          <w:color w:val="auto"/>
          <w:sz w:val="21"/>
          <w:szCs w:val="21"/>
        </w:rPr>
        <w:t>分项工程</w:t>
      </w:r>
      <w:r>
        <w:rPr>
          <w:rFonts w:hint="eastAsia" w:eastAsia="宋体" w:cs="宋体"/>
          <w:color w:val="auto"/>
          <w:sz w:val="21"/>
          <w:szCs w:val="21"/>
          <w:lang w:val="en-US" w:eastAsia="zh-CN"/>
        </w:rPr>
        <w:t>的设计（验收）标准、</w:t>
      </w:r>
      <w:r>
        <w:rPr>
          <w:rFonts w:hint="eastAsia" w:ascii="宋体" w:hAnsi="宋体" w:eastAsia="宋体" w:cs="宋体"/>
          <w:color w:val="auto"/>
          <w:sz w:val="21"/>
          <w:szCs w:val="21"/>
        </w:rPr>
        <w:t>施工方法、</w:t>
      </w:r>
      <w:r>
        <w:rPr>
          <w:rFonts w:hint="eastAsia" w:ascii="宋体" w:hAnsi="宋体" w:eastAsia="宋体" w:cs="宋体"/>
          <w:color w:val="auto"/>
          <w:sz w:val="21"/>
          <w:szCs w:val="21"/>
          <w:lang w:val="en-US" w:eastAsia="zh-CN"/>
        </w:rPr>
        <w:t>材料应用</w:t>
      </w:r>
      <w:r>
        <w:rPr>
          <w:rFonts w:hint="eastAsia" w:ascii="宋体" w:hAnsi="宋体" w:eastAsia="宋体" w:cs="宋体"/>
          <w:color w:val="auto"/>
          <w:sz w:val="21"/>
          <w:szCs w:val="21"/>
        </w:rPr>
        <w:t>等诸多因素尽可能充分考虑，突出科学性及可行性。依据以下几项</w:t>
      </w:r>
      <w:r>
        <w:rPr>
          <w:rFonts w:hint="eastAsia" w:ascii="宋体" w:hAnsi="宋体" w:eastAsia="宋体" w:cs="宋体"/>
          <w:color w:val="auto"/>
          <w:sz w:val="21"/>
          <w:szCs w:val="21"/>
          <w:lang w:val="en-US" w:eastAsia="zh-CN"/>
        </w:rPr>
        <w:t>进行</w:t>
      </w:r>
      <w:r>
        <w:rPr>
          <w:rFonts w:hint="eastAsia" w:ascii="宋体" w:hAnsi="宋体" w:eastAsia="宋体" w:cs="宋体"/>
          <w:color w:val="auto"/>
          <w:sz w:val="21"/>
          <w:szCs w:val="21"/>
        </w:rPr>
        <w:t>编制：</w:t>
      </w:r>
    </w:p>
    <w:p w14:paraId="61FA745A">
      <w:pPr>
        <w:pStyle w:val="1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1、深圳龙电华鑫控股集团股份有限公司“</w:t>
      </w:r>
      <w:r>
        <w:rPr>
          <w:rFonts w:hint="eastAsia" w:ascii="宋体" w:hAnsi="宋体" w:eastAsia="宋体" w:cs="宋体"/>
          <w:color w:val="auto"/>
          <w:sz w:val="21"/>
          <w:szCs w:val="21"/>
          <w:u w:val="single"/>
        </w:rPr>
        <w:t>燕罗智能网联汽车产业园4栋6F、7F厂房装修工程</w:t>
      </w:r>
      <w:r>
        <w:rPr>
          <w:rFonts w:hint="eastAsia" w:ascii="宋体" w:hAnsi="宋体" w:eastAsia="宋体" w:cs="宋体"/>
          <w:color w:val="auto"/>
          <w:sz w:val="21"/>
          <w:szCs w:val="21"/>
          <w:u w:val="none"/>
        </w:rPr>
        <w:t xml:space="preserve"> </w:t>
      </w:r>
      <w:r>
        <w:rPr>
          <w:rFonts w:hint="eastAsia" w:ascii="宋体" w:hAnsi="宋体" w:eastAsia="宋体" w:cs="宋体"/>
          <w:color w:val="auto"/>
          <w:sz w:val="21"/>
          <w:szCs w:val="21"/>
          <w:u w:val="none"/>
          <w:lang w:val="en-US" w:eastAsia="zh-CN"/>
        </w:rPr>
        <w:t>招标文件</w:t>
      </w:r>
      <w:r>
        <w:rPr>
          <w:rFonts w:hint="eastAsia" w:ascii="宋体" w:hAnsi="宋体" w:eastAsia="宋体" w:cs="宋体"/>
          <w:color w:val="auto"/>
          <w:sz w:val="21"/>
          <w:szCs w:val="21"/>
        </w:rPr>
        <w:t>”。</w:t>
      </w:r>
    </w:p>
    <w:p w14:paraId="725DC450">
      <w:pPr>
        <w:pStyle w:val="1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各投标单位提供的平面布置图及</w:t>
      </w:r>
      <w:r>
        <w:rPr>
          <w:rFonts w:hint="eastAsia" w:ascii="宋体" w:hAnsi="宋体" w:eastAsia="宋体" w:cs="宋体"/>
          <w:color w:val="auto"/>
          <w:sz w:val="21"/>
          <w:szCs w:val="21"/>
        </w:rPr>
        <w:t>深圳龙电华鑫控股集团股份有限公司</w:t>
      </w:r>
      <w:r>
        <w:rPr>
          <w:rFonts w:hint="eastAsia" w:ascii="宋体" w:hAnsi="宋体" w:eastAsia="宋体" w:cs="宋体"/>
          <w:color w:val="auto"/>
          <w:sz w:val="21"/>
          <w:szCs w:val="21"/>
          <w:lang w:val="en-US" w:eastAsia="zh-CN"/>
        </w:rPr>
        <w:t>提供的生产车间装修需求（</w:t>
      </w:r>
      <w:r>
        <w:rPr>
          <w:rFonts w:hint="eastAsia" w:eastAsia="宋体" w:cs="宋体"/>
          <w:color w:val="auto"/>
          <w:sz w:val="21"/>
          <w:szCs w:val="21"/>
          <w:lang w:val="en-US" w:eastAsia="zh-CN"/>
        </w:rPr>
        <w:t>包含</w:t>
      </w:r>
      <w:r>
        <w:rPr>
          <w:rFonts w:hint="eastAsia" w:ascii="宋体" w:hAnsi="宋体" w:eastAsia="宋体" w:cs="宋体"/>
          <w:color w:val="auto"/>
          <w:sz w:val="21"/>
          <w:szCs w:val="21"/>
          <w:lang w:val="en-US" w:eastAsia="zh-CN"/>
        </w:rPr>
        <w:t>文件</w:t>
      </w:r>
      <w:r>
        <w:rPr>
          <w:rFonts w:hint="eastAsia" w:eastAsia="宋体" w:cs="宋体"/>
          <w:color w:val="auto"/>
          <w:sz w:val="21"/>
          <w:szCs w:val="21"/>
          <w:lang w:val="en-US" w:eastAsia="zh-CN"/>
        </w:rPr>
        <w:t>：6层、7层车间平面图；新厂房面积分割图等；套内面积约：5017.3㎡+9143.73㎡</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w:t>
      </w:r>
    </w:p>
    <w:p w14:paraId="5EB030CB">
      <w:pPr>
        <w:pStyle w:val="1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深圳市住建局</w:t>
      </w:r>
      <w:r>
        <w:rPr>
          <w:rFonts w:hint="eastAsia" w:ascii="宋体" w:hAnsi="宋体" w:eastAsia="宋体" w:cs="宋体"/>
          <w:color w:val="auto"/>
          <w:sz w:val="21"/>
          <w:szCs w:val="21"/>
        </w:rPr>
        <w:t>文件《</w:t>
      </w:r>
      <w:r>
        <w:rPr>
          <w:rFonts w:hint="eastAsia" w:ascii="宋体" w:hAnsi="宋体" w:eastAsia="宋体" w:cs="宋体"/>
          <w:color w:val="auto"/>
          <w:sz w:val="21"/>
          <w:szCs w:val="21"/>
          <w:lang w:val="en-US" w:eastAsia="zh-CN"/>
        </w:rPr>
        <w:t>深圳</w:t>
      </w:r>
      <w:r>
        <w:rPr>
          <w:rFonts w:hint="eastAsia" w:ascii="宋体" w:hAnsi="宋体" w:eastAsia="宋体" w:cs="宋体"/>
          <w:color w:val="auto"/>
          <w:sz w:val="21"/>
          <w:szCs w:val="21"/>
        </w:rPr>
        <w:t>市建设工程现场文明施工管理办法》。</w:t>
      </w:r>
    </w:p>
    <w:p w14:paraId="69CE3434">
      <w:pPr>
        <w:pStyle w:val="1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、现行国家有关规范、标准和规程。</w:t>
      </w:r>
    </w:p>
    <w:p w14:paraId="2E6FA7BF">
      <w:pPr>
        <w:pStyle w:val="1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5、深圳市</w:t>
      </w:r>
      <w:r>
        <w:rPr>
          <w:rFonts w:hint="eastAsia" w:ascii="宋体" w:hAnsi="宋体" w:eastAsia="宋体" w:cs="宋体"/>
          <w:color w:val="auto"/>
          <w:sz w:val="21"/>
          <w:szCs w:val="21"/>
        </w:rPr>
        <w:t>有关文件及规定。</w:t>
      </w:r>
    </w:p>
    <w:p w14:paraId="3CB4B455">
      <w:pPr>
        <w:pStyle w:val="13"/>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6</w:t>
      </w:r>
      <w:r>
        <w:rPr>
          <w:rFonts w:hint="eastAsia" w:eastAsia="宋体" w:cs="宋体"/>
          <w:color w:val="auto"/>
          <w:sz w:val="21"/>
          <w:szCs w:val="21"/>
          <w:lang w:val="en-US" w:eastAsia="zh-CN"/>
        </w:rPr>
        <w:t>、</w:t>
      </w:r>
      <w:r>
        <w:rPr>
          <w:rFonts w:hint="eastAsia" w:ascii="宋体" w:hAnsi="宋体" w:eastAsia="宋体" w:cs="宋体"/>
          <w:color w:val="auto"/>
          <w:sz w:val="21"/>
          <w:szCs w:val="21"/>
        </w:rPr>
        <w:t>现场实际情况。</w:t>
      </w:r>
    </w:p>
    <w:p w14:paraId="538EF2BA">
      <w:pPr>
        <w:pStyle w:val="13"/>
        <w:spacing w:line="360" w:lineRule="auto"/>
        <w:rPr>
          <w:rFonts w:hint="eastAsia" w:ascii="宋体" w:hAnsi="宋体" w:eastAsia="宋体" w:cs="宋体"/>
          <w:color w:val="auto"/>
          <w:sz w:val="21"/>
          <w:szCs w:val="21"/>
        </w:rPr>
      </w:pPr>
    </w:p>
    <w:p w14:paraId="33F4E673">
      <w:pPr>
        <w:pStyle w:val="13"/>
        <w:spacing w:line="360" w:lineRule="auto"/>
        <w:rPr>
          <w:rFonts w:hint="default" w:eastAsia="宋体" w:cs="宋体"/>
          <w:color w:val="auto"/>
          <w:sz w:val="21"/>
          <w:szCs w:val="21"/>
          <w:lang w:val="en-US" w:eastAsia="zh-CN"/>
        </w:rPr>
      </w:pPr>
      <w:r>
        <w:rPr>
          <w:rFonts w:hint="eastAsia" w:eastAsia="宋体" w:cs="宋体"/>
          <w:color w:val="auto"/>
          <w:sz w:val="21"/>
          <w:szCs w:val="21"/>
          <w:lang w:val="en-US" w:eastAsia="zh-CN"/>
        </w:rPr>
        <w:t>项目概况说明</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759"/>
        <w:gridCol w:w="6079"/>
      </w:tblGrid>
      <w:tr w14:paraId="25AD0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401" w:type="pct"/>
            <w:tcBorders>
              <w:top w:val="single" w:color="E0C154" w:sz="8" w:space="0"/>
              <w:left w:val="single" w:color="E0C154" w:sz="8" w:space="0"/>
              <w:bottom w:val="single" w:color="E0C154" w:sz="24" w:space="0"/>
              <w:right w:val="single" w:color="E0C154" w:sz="8" w:space="0"/>
            </w:tcBorders>
            <w:shd w:val="clear" w:color="auto" w:fill="F6EDCD"/>
          </w:tcPr>
          <w:p w14:paraId="71F7BC55">
            <w:pPr>
              <w:ind w:firstLine="0" w:firstLine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1032" w:type="pct"/>
            <w:tcBorders>
              <w:top w:val="single" w:color="E0C154" w:sz="8" w:space="0"/>
              <w:left w:val="single" w:color="E0C154" w:sz="8" w:space="0"/>
              <w:bottom w:val="single" w:color="E0C154" w:sz="24" w:space="0"/>
              <w:right w:val="dotted" w:color="auto" w:sz="8" w:space="0"/>
            </w:tcBorders>
            <w:shd w:val="clear" w:color="auto" w:fill="F6EDCD"/>
          </w:tcPr>
          <w:p w14:paraId="59986163">
            <w:pPr>
              <w:ind w:firstLine="0" w:firstLine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名称</w:t>
            </w:r>
          </w:p>
        </w:tc>
        <w:tc>
          <w:tcPr>
            <w:tcW w:w="3566" w:type="pct"/>
            <w:tcBorders>
              <w:top w:val="single" w:color="E0C154" w:sz="8" w:space="0"/>
              <w:left w:val="dotted" w:color="auto" w:sz="8" w:space="0"/>
              <w:bottom w:val="single" w:color="E0C154" w:sz="24" w:space="0"/>
              <w:right w:val="single" w:color="E0C154" w:sz="8" w:space="0"/>
            </w:tcBorders>
            <w:shd w:val="clear" w:color="auto" w:fill="F6EDCD"/>
          </w:tcPr>
          <w:p w14:paraId="023B073C">
            <w:pPr>
              <w:ind w:firstLine="0" w:firstLine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内容</w:t>
            </w:r>
          </w:p>
        </w:tc>
      </w:tr>
      <w:tr w14:paraId="0F3A7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401" w:type="pct"/>
            <w:tcBorders>
              <w:top w:val="single" w:color="E0C154" w:sz="24" w:space="0"/>
              <w:left w:val="single" w:color="E0C154" w:sz="8" w:space="0"/>
              <w:bottom w:val="dotted" w:color="auto" w:sz="8" w:space="0"/>
              <w:right w:val="single" w:color="E0C154" w:sz="8" w:space="0"/>
            </w:tcBorders>
            <w:shd w:val="clear" w:color="auto" w:fill="FFFFFF"/>
          </w:tcPr>
          <w:p w14:paraId="712F321F">
            <w:pPr>
              <w:ind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rPr>
              <w:t>1</w:t>
            </w:r>
          </w:p>
        </w:tc>
        <w:tc>
          <w:tcPr>
            <w:tcW w:w="1032" w:type="pct"/>
            <w:tcBorders>
              <w:top w:val="single" w:color="E0C154" w:sz="24" w:space="0"/>
              <w:left w:val="single" w:color="E0C154" w:sz="8" w:space="0"/>
              <w:bottom w:val="dotted" w:color="auto" w:sz="8" w:space="0"/>
              <w:right w:val="dotted" w:color="auto" w:sz="8" w:space="0"/>
            </w:tcBorders>
            <w:shd w:val="clear" w:color="auto" w:fill="FFFFFF"/>
            <w:vAlign w:val="center"/>
          </w:tcPr>
          <w:p w14:paraId="66C0AA6C">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项目名称</w:t>
            </w:r>
          </w:p>
        </w:tc>
        <w:tc>
          <w:tcPr>
            <w:tcW w:w="3566" w:type="pct"/>
            <w:tcBorders>
              <w:top w:val="single" w:color="E0C154" w:sz="24" w:space="0"/>
              <w:left w:val="dotted" w:color="auto" w:sz="8" w:space="0"/>
              <w:bottom w:val="dotted" w:color="auto" w:sz="8" w:space="0"/>
              <w:right w:val="single" w:color="E0C154" w:sz="8" w:space="0"/>
            </w:tcBorders>
            <w:shd w:val="clear" w:color="auto" w:fill="FFFFFF"/>
          </w:tcPr>
          <w:p w14:paraId="33C8DE53">
            <w:pPr>
              <w:ind w:firstLine="0" w:firstLineChars="0"/>
              <w:jc w:val="center"/>
              <w:rPr>
                <w:rFonts w:hint="eastAsia" w:ascii="宋体" w:hAnsi="宋体" w:eastAsia="宋体" w:cs="宋体"/>
                <w:bCs/>
                <w:color w:val="auto"/>
                <w:sz w:val="21"/>
                <w:szCs w:val="21"/>
              </w:rPr>
            </w:pPr>
            <w:r>
              <w:rPr>
                <w:rFonts w:hint="eastAsia" w:ascii="宋体" w:hAnsi="宋体" w:eastAsia="宋体" w:cs="宋体"/>
                <w:color w:val="auto"/>
                <w:sz w:val="21"/>
                <w:szCs w:val="21"/>
                <w:u w:val="none"/>
              </w:rPr>
              <w:t>燕罗智能网联汽车产业园4栋6F、7F厂房装修工程</w:t>
            </w:r>
          </w:p>
        </w:tc>
      </w:tr>
      <w:tr w14:paraId="4EC63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401" w:type="pct"/>
            <w:tcBorders>
              <w:top w:val="dotted" w:color="auto" w:sz="8" w:space="0"/>
              <w:left w:val="single" w:color="E0C154" w:sz="8" w:space="0"/>
              <w:bottom w:val="dotted" w:color="auto" w:sz="8" w:space="0"/>
              <w:right w:val="single" w:color="E0C154" w:sz="8" w:space="0"/>
            </w:tcBorders>
            <w:shd w:val="clear" w:color="auto" w:fill="FDFBF4"/>
          </w:tcPr>
          <w:p w14:paraId="05F34E7B">
            <w:pPr>
              <w:ind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rPr>
              <w:t>2</w:t>
            </w:r>
          </w:p>
        </w:tc>
        <w:tc>
          <w:tcPr>
            <w:tcW w:w="1032" w:type="pct"/>
            <w:tcBorders>
              <w:top w:val="dotted" w:color="auto" w:sz="8" w:space="0"/>
              <w:left w:val="single" w:color="E0C154" w:sz="8" w:space="0"/>
              <w:bottom w:val="dotted" w:color="auto" w:sz="8" w:space="0"/>
              <w:right w:val="dotted" w:color="auto" w:sz="8" w:space="0"/>
            </w:tcBorders>
            <w:shd w:val="clear" w:color="auto" w:fill="FDFBF4"/>
            <w:vAlign w:val="center"/>
          </w:tcPr>
          <w:p w14:paraId="4BAC6A78">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项目地点</w:t>
            </w:r>
          </w:p>
        </w:tc>
        <w:tc>
          <w:tcPr>
            <w:tcW w:w="3566" w:type="pct"/>
            <w:tcBorders>
              <w:top w:val="dotted" w:color="auto" w:sz="8" w:space="0"/>
              <w:left w:val="dotted" w:color="auto" w:sz="8" w:space="0"/>
              <w:bottom w:val="dotted" w:color="auto" w:sz="8" w:space="0"/>
              <w:right w:val="single" w:color="E0C154" w:sz="8" w:space="0"/>
            </w:tcBorders>
            <w:shd w:val="clear" w:color="auto" w:fill="FDFBF4"/>
            <w:vAlign w:val="center"/>
          </w:tcPr>
          <w:p w14:paraId="69B385B0">
            <w:pPr>
              <w:ind w:firstLine="0" w:firstLineChars="0"/>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rPr>
              <w:t>深圳市</w:t>
            </w:r>
            <w:r>
              <w:rPr>
                <w:rFonts w:hint="eastAsia" w:ascii="宋体" w:hAnsi="宋体" w:eastAsia="宋体" w:cs="宋体"/>
                <w:bCs/>
                <w:color w:val="auto"/>
                <w:sz w:val="21"/>
                <w:szCs w:val="21"/>
                <w:lang w:val="en-US" w:eastAsia="zh-CN"/>
              </w:rPr>
              <w:t>宝安区</w:t>
            </w:r>
          </w:p>
        </w:tc>
      </w:tr>
      <w:tr w14:paraId="50F0C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 w:type="pct"/>
            <w:tcBorders>
              <w:top w:val="dotted" w:color="auto" w:sz="8" w:space="0"/>
              <w:left w:val="single" w:color="E0C154" w:sz="8" w:space="0"/>
              <w:bottom w:val="dotted" w:color="auto" w:sz="8" w:space="0"/>
              <w:right w:val="single" w:color="E0C154" w:sz="8" w:space="0"/>
            </w:tcBorders>
            <w:shd w:val="clear" w:color="auto" w:fill="FFFFFF"/>
          </w:tcPr>
          <w:p w14:paraId="6EB98C43">
            <w:pPr>
              <w:ind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rPr>
              <w:t>3</w:t>
            </w:r>
          </w:p>
        </w:tc>
        <w:tc>
          <w:tcPr>
            <w:tcW w:w="1032" w:type="pct"/>
            <w:tcBorders>
              <w:top w:val="dotted" w:color="auto" w:sz="8" w:space="0"/>
              <w:left w:val="single" w:color="E0C154" w:sz="8" w:space="0"/>
              <w:bottom w:val="dotted" w:color="auto" w:sz="8" w:space="0"/>
              <w:right w:val="dotted" w:color="auto" w:sz="8" w:space="0"/>
            </w:tcBorders>
            <w:shd w:val="clear" w:color="auto" w:fill="FFFFFF"/>
            <w:vAlign w:val="center"/>
          </w:tcPr>
          <w:p w14:paraId="511EE28D">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招标人</w:t>
            </w:r>
          </w:p>
        </w:tc>
        <w:tc>
          <w:tcPr>
            <w:tcW w:w="3566" w:type="pct"/>
            <w:tcBorders>
              <w:top w:val="dotted" w:color="auto" w:sz="8" w:space="0"/>
              <w:left w:val="dotted" w:color="auto" w:sz="8" w:space="0"/>
              <w:bottom w:val="dotted" w:color="auto" w:sz="8" w:space="0"/>
              <w:right w:val="single" w:color="E0C154" w:sz="8" w:space="0"/>
            </w:tcBorders>
            <w:shd w:val="clear" w:color="auto" w:fill="FFFFFF"/>
          </w:tcPr>
          <w:p w14:paraId="5817E896">
            <w:pPr>
              <w:ind w:firstLine="0" w:firstLineChars="0"/>
              <w:jc w:val="center"/>
              <w:rPr>
                <w:rFonts w:hint="eastAsia" w:ascii="宋体" w:hAnsi="宋体" w:eastAsia="宋体" w:cs="宋体"/>
                <w:bCs/>
                <w:color w:val="auto"/>
                <w:sz w:val="21"/>
                <w:szCs w:val="21"/>
              </w:rPr>
            </w:pPr>
            <w:r>
              <w:rPr>
                <w:rFonts w:hint="eastAsia" w:ascii="宋体" w:hAnsi="宋体" w:eastAsia="宋体" w:cs="宋体"/>
                <w:color w:val="auto"/>
                <w:sz w:val="21"/>
                <w:szCs w:val="21"/>
              </w:rPr>
              <w:t>深圳龙电华鑫控股集团股份有限公司</w:t>
            </w:r>
          </w:p>
        </w:tc>
      </w:tr>
      <w:tr w14:paraId="657DA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01" w:type="pct"/>
            <w:tcBorders>
              <w:top w:val="dotted" w:color="auto" w:sz="8" w:space="0"/>
              <w:left w:val="single" w:color="E0C154" w:sz="8" w:space="0"/>
              <w:bottom w:val="dotted" w:color="auto" w:sz="8" w:space="0"/>
              <w:right w:val="single" w:color="E0C154" w:sz="8" w:space="0"/>
            </w:tcBorders>
            <w:shd w:val="clear" w:color="auto" w:fill="FFFFFF"/>
          </w:tcPr>
          <w:p w14:paraId="6B2C9147">
            <w:pPr>
              <w:ind w:firstLine="0" w:firstLineChars="0"/>
              <w:jc w:val="center"/>
              <w:rPr>
                <w:rFonts w:hint="eastAsia" w:ascii="宋体" w:hAnsi="宋体" w:eastAsia="宋体" w:cs="宋体"/>
                <w:color w:val="auto"/>
                <w:sz w:val="21"/>
                <w:szCs w:val="21"/>
                <w:lang w:eastAsia="zh-CN"/>
              </w:rPr>
            </w:pPr>
            <w:bookmarkStart w:id="1" w:name="_Toc88229978"/>
            <w:r>
              <w:rPr>
                <w:rFonts w:hint="eastAsia" w:ascii="宋体" w:hAnsi="宋体" w:eastAsia="宋体" w:cs="宋体"/>
                <w:color w:val="auto"/>
                <w:sz w:val="21"/>
                <w:szCs w:val="21"/>
                <w:lang w:val="en-US" w:eastAsia="zh-CN"/>
              </w:rPr>
              <w:t>4</w:t>
            </w:r>
          </w:p>
        </w:tc>
        <w:tc>
          <w:tcPr>
            <w:tcW w:w="1032" w:type="pct"/>
            <w:tcBorders>
              <w:top w:val="dotted" w:color="auto" w:sz="8" w:space="0"/>
              <w:left w:val="single" w:color="E0C154" w:sz="8" w:space="0"/>
              <w:bottom w:val="dotted" w:color="auto" w:sz="8" w:space="0"/>
              <w:right w:val="dotted" w:color="auto" w:sz="8" w:space="0"/>
            </w:tcBorders>
            <w:shd w:val="clear" w:color="auto" w:fill="FFFFFF"/>
            <w:vAlign w:val="center"/>
          </w:tcPr>
          <w:p w14:paraId="2CFECAD8">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招标范围</w:t>
            </w:r>
          </w:p>
        </w:tc>
        <w:tc>
          <w:tcPr>
            <w:tcW w:w="3566" w:type="pct"/>
            <w:tcBorders>
              <w:top w:val="dotted" w:color="auto" w:sz="8" w:space="0"/>
              <w:left w:val="dotted" w:color="auto" w:sz="8" w:space="0"/>
              <w:bottom w:val="dotted" w:color="auto" w:sz="8" w:space="0"/>
              <w:right w:val="single" w:color="E0C154" w:sz="8" w:space="0"/>
            </w:tcBorders>
            <w:shd w:val="clear" w:color="auto" w:fill="FFFFFF"/>
            <w:vAlign w:val="center"/>
          </w:tcPr>
          <w:p w14:paraId="349B04A3">
            <w:pPr>
              <w:ind w:firstLine="0" w:firstLineChars="0"/>
              <w:jc w:val="both"/>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1、燕罗智能网联汽车产业园4栋6F、7F厂房装修工程</w:t>
            </w:r>
            <w:r>
              <w:rPr>
                <w:rFonts w:hint="eastAsia" w:ascii="宋体" w:hAnsi="宋体" w:eastAsia="宋体" w:cs="宋体"/>
                <w:bCs/>
                <w:color w:val="auto"/>
                <w:sz w:val="21"/>
                <w:szCs w:val="21"/>
              </w:rPr>
              <w:t>。</w:t>
            </w:r>
          </w:p>
          <w:p w14:paraId="4B032F3E">
            <w:pPr>
              <w:ind w:firstLine="0" w:firstLineChars="0"/>
              <w:jc w:val="both"/>
              <w:rPr>
                <w:rFonts w:hint="default" w:ascii="宋体" w:hAnsi="宋体" w:eastAsia="宋体" w:cs="宋体"/>
                <w:bCs/>
                <w:color w:val="auto"/>
                <w:sz w:val="21"/>
                <w:szCs w:val="21"/>
                <w:highlight w:val="yellow"/>
                <w:lang w:val="en-US" w:eastAsia="zh-CN"/>
              </w:rPr>
            </w:pPr>
            <w:r>
              <w:rPr>
                <w:rFonts w:hint="eastAsia" w:ascii="宋体" w:hAnsi="宋体" w:eastAsia="宋体" w:cs="宋体"/>
                <w:bCs/>
                <w:color w:val="auto"/>
                <w:sz w:val="21"/>
                <w:szCs w:val="21"/>
                <w:highlight w:val="yellow"/>
                <w:lang w:val="en-US" w:eastAsia="zh-CN"/>
              </w:rPr>
              <w:t>2、装饰和消防施工图纸设计（包含平面图、立面图、节点图、电气图、弱电图、给排水图、消防图。）</w:t>
            </w:r>
          </w:p>
          <w:p w14:paraId="55702EF8">
            <w:pPr>
              <w:ind w:firstLine="0" w:firstLineChars="0"/>
              <w:jc w:val="left"/>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3、</w:t>
            </w:r>
            <w:r>
              <w:rPr>
                <w:rFonts w:hint="eastAsia" w:ascii="宋体" w:hAnsi="宋体" w:eastAsia="宋体" w:cs="宋体"/>
                <w:bCs/>
                <w:color w:val="auto"/>
                <w:sz w:val="21"/>
                <w:szCs w:val="21"/>
              </w:rPr>
              <w:t>水电包含给排水工程、消防工程（包含喷淋系统，消火栓系统</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highlight w:val="yellow"/>
                <w:lang w:val="en-US" w:eastAsia="zh-CN"/>
              </w:rPr>
              <w:t>报批、审核通过出具“建设工程消防验收备案凭证”</w:t>
            </w:r>
            <w:r>
              <w:rPr>
                <w:rFonts w:hint="eastAsia" w:ascii="宋体" w:hAnsi="宋体" w:eastAsia="宋体" w:cs="宋体"/>
                <w:bCs/>
                <w:color w:val="auto"/>
                <w:sz w:val="21"/>
                <w:szCs w:val="21"/>
              </w:rPr>
              <w:t>）、电气工程（包含照明系统、动力配电系统、配电箱安装</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lang w:val="en-US" w:eastAsia="zh-CN"/>
              </w:rPr>
              <w:t>弱电系统</w:t>
            </w:r>
            <w:r>
              <w:rPr>
                <w:rFonts w:hint="eastAsia" w:ascii="宋体" w:hAnsi="宋体" w:eastAsia="宋体" w:cs="宋体"/>
                <w:bCs/>
                <w:color w:val="auto"/>
                <w:sz w:val="21"/>
                <w:szCs w:val="21"/>
              </w:rPr>
              <w:t>）、空调</w:t>
            </w:r>
            <w:r>
              <w:rPr>
                <w:rFonts w:hint="eastAsia" w:ascii="宋体" w:hAnsi="宋体" w:eastAsia="宋体" w:cs="宋体"/>
                <w:bCs/>
                <w:color w:val="auto"/>
                <w:sz w:val="21"/>
                <w:szCs w:val="21"/>
                <w:lang w:val="en-US" w:eastAsia="zh-CN"/>
              </w:rPr>
              <w:t>及</w:t>
            </w:r>
            <w:r>
              <w:rPr>
                <w:rFonts w:hint="eastAsia" w:ascii="宋体" w:hAnsi="宋体" w:eastAsia="宋体" w:cs="宋体"/>
                <w:bCs/>
                <w:color w:val="auto"/>
                <w:sz w:val="21"/>
                <w:szCs w:val="21"/>
              </w:rPr>
              <w:t>配电工程、智能化工程（包含桥架及管道预埋、管线布置、背景音乐系统</w:t>
            </w:r>
            <w:r>
              <w:rPr>
                <w:rFonts w:hint="eastAsia" w:ascii="宋体" w:hAnsi="宋体" w:eastAsia="宋体" w:cs="宋体"/>
                <w:bCs/>
                <w:color w:val="auto"/>
                <w:sz w:val="21"/>
                <w:szCs w:val="21"/>
                <w:lang w:val="en-US" w:eastAsia="zh-CN"/>
              </w:rPr>
              <w:t>/消防广播，据实际情况增设</w:t>
            </w:r>
            <w:r>
              <w:rPr>
                <w:rFonts w:hint="eastAsia" w:ascii="宋体" w:hAnsi="宋体" w:eastAsia="宋体" w:cs="宋体"/>
                <w:bCs/>
                <w:color w:val="auto"/>
                <w:sz w:val="21"/>
                <w:szCs w:val="21"/>
              </w:rPr>
              <w:t>）等。</w:t>
            </w:r>
          </w:p>
          <w:p w14:paraId="7450B026">
            <w:pPr>
              <w:ind w:firstLine="0" w:firstLineChars="0"/>
              <w:jc w:val="both"/>
              <w:rPr>
                <w:rFonts w:hint="eastAsia" w:ascii="宋体" w:hAnsi="宋体" w:eastAsia="宋体" w:cs="宋体"/>
                <w:bCs/>
                <w:color w:val="auto"/>
                <w:sz w:val="21"/>
                <w:szCs w:val="21"/>
              </w:rPr>
            </w:pPr>
            <w:r>
              <w:rPr>
                <w:rFonts w:hint="eastAsia" w:ascii="宋体" w:hAnsi="宋体" w:eastAsia="宋体" w:cs="宋体"/>
                <w:bCs/>
                <w:color w:val="auto"/>
                <w:sz w:val="21"/>
                <w:szCs w:val="21"/>
                <w:lang w:val="en-US" w:eastAsia="zh-CN"/>
              </w:rPr>
              <w:t>4、</w:t>
            </w:r>
            <w:r>
              <w:rPr>
                <w:rFonts w:hint="eastAsia" w:ascii="宋体" w:hAnsi="宋体" w:eastAsia="宋体" w:cs="宋体"/>
                <w:bCs/>
                <w:color w:val="auto"/>
                <w:sz w:val="21"/>
                <w:szCs w:val="21"/>
              </w:rPr>
              <w:t>装修工程包含</w:t>
            </w:r>
            <w:r>
              <w:rPr>
                <w:rFonts w:hint="eastAsia" w:ascii="宋体" w:hAnsi="宋体" w:eastAsia="宋体" w:cs="宋体"/>
                <w:bCs/>
                <w:color w:val="auto"/>
                <w:sz w:val="21"/>
                <w:szCs w:val="21"/>
                <w:lang w:val="en-US" w:eastAsia="zh-CN"/>
              </w:rPr>
              <w:t>玻璃隔墙、彩钢板隔墙</w:t>
            </w:r>
            <w:r>
              <w:rPr>
                <w:rFonts w:hint="eastAsia" w:ascii="宋体" w:hAnsi="宋体" w:eastAsia="宋体" w:cs="宋体"/>
                <w:bCs/>
                <w:color w:val="auto"/>
                <w:sz w:val="21"/>
                <w:szCs w:val="21"/>
              </w:rPr>
              <w:t>、涂料、环氧自流平等。</w:t>
            </w:r>
          </w:p>
        </w:tc>
      </w:tr>
      <w:tr w14:paraId="45B7C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01" w:type="pct"/>
            <w:tcBorders>
              <w:top w:val="dotted" w:color="auto" w:sz="8" w:space="0"/>
              <w:left w:val="single" w:color="E0C154" w:sz="8" w:space="0"/>
              <w:bottom w:val="dotted" w:color="auto" w:sz="8" w:space="0"/>
              <w:right w:val="single" w:color="E0C154" w:sz="8" w:space="0"/>
            </w:tcBorders>
            <w:shd w:val="clear" w:color="auto" w:fill="FDFBF4"/>
          </w:tcPr>
          <w:p w14:paraId="05F35F4E">
            <w:pPr>
              <w:ind w:firstLine="0" w:firstLineChar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p>
        </w:tc>
        <w:tc>
          <w:tcPr>
            <w:tcW w:w="1032" w:type="pct"/>
            <w:tcBorders>
              <w:top w:val="dotted" w:color="auto" w:sz="8" w:space="0"/>
              <w:left w:val="single" w:color="E0C154" w:sz="8" w:space="0"/>
              <w:bottom w:val="dotted" w:color="auto" w:sz="8" w:space="0"/>
              <w:right w:val="dotted" w:color="auto" w:sz="8" w:space="0"/>
            </w:tcBorders>
            <w:shd w:val="clear" w:color="auto" w:fill="FDFBF4"/>
            <w:vAlign w:val="center"/>
          </w:tcPr>
          <w:p w14:paraId="1EF8D6FE">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质量要求</w:t>
            </w:r>
          </w:p>
        </w:tc>
        <w:tc>
          <w:tcPr>
            <w:tcW w:w="3566" w:type="pct"/>
            <w:tcBorders>
              <w:top w:val="dotted" w:color="auto" w:sz="8" w:space="0"/>
              <w:left w:val="dotted" w:color="auto" w:sz="8" w:space="0"/>
              <w:bottom w:val="dotted" w:color="auto" w:sz="8" w:space="0"/>
              <w:right w:val="single" w:color="E0C154" w:sz="8" w:space="0"/>
            </w:tcBorders>
            <w:shd w:val="clear" w:color="auto" w:fill="FDFBF4"/>
            <w:vAlign w:val="center"/>
          </w:tcPr>
          <w:p w14:paraId="71B93923">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符合国家现行工程施工质量验收规范合格标准。</w:t>
            </w:r>
          </w:p>
        </w:tc>
      </w:tr>
      <w:tr w14:paraId="4599C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401" w:type="pct"/>
            <w:tcBorders>
              <w:top w:val="dotted" w:color="auto" w:sz="8" w:space="0"/>
              <w:left w:val="single" w:color="E0C154" w:sz="8" w:space="0"/>
              <w:bottom w:val="dotted" w:color="auto" w:sz="8" w:space="0"/>
              <w:right w:val="single" w:color="E0C154" w:sz="8" w:space="0"/>
            </w:tcBorders>
            <w:shd w:val="clear" w:color="auto" w:fill="FFFFFF"/>
            <w:vAlign w:val="center"/>
          </w:tcPr>
          <w:p w14:paraId="5F4CE2F8">
            <w:pPr>
              <w:ind w:firstLine="0" w:firstLineChar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p>
        </w:tc>
        <w:tc>
          <w:tcPr>
            <w:tcW w:w="1032" w:type="pct"/>
            <w:tcBorders>
              <w:top w:val="dotted" w:color="auto" w:sz="8" w:space="0"/>
              <w:left w:val="single" w:color="E0C154" w:sz="8" w:space="0"/>
              <w:bottom w:val="dotted" w:color="auto" w:sz="8" w:space="0"/>
              <w:right w:val="dotted" w:color="auto" w:sz="8" w:space="0"/>
            </w:tcBorders>
            <w:shd w:val="clear" w:color="auto" w:fill="FFFFFF"/>
            <w:vAlign w:val="center"/>
          </w:tcPr>
          <w:p w14:paraId="10A55D4B">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工期</w:t>
            </w:r>
          </w:p>
        </w:tc>
        <w:tc>
          <w:tcPr>
            <w:tcW w:w="3566" w:type="pct"/>
            <w:tcBorders>
              <w:top w:val="dotted" w:color="auto" w:sz="8" w:space="0"/>
              <w:left w:val="dotted" w:color="auto" w:sz="8" w:space="0"/>
              <w:bottom w:val="dotted" w:color="auto" w:sz="8" w:space="0"/>
              <w:right w:val="single" w:color="E0C154" w:sz="8" w:space="0"/>
            </w:tcBorders>
            <w:shd w:val="clear" w:color="auto" w:fill="FFFFFF"/>
            <w:vAlign w:val="center"/>
          </w:tcPr>
          <w:p w14:paraId="4250C854">
            <w:pPr>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施工总工期：</w:t>
            </w:r>
            <w:r>
              <w:rPr>
                <w:rFonts w:hint="eastAsia" w:ascii="宋体" w:hAnsi="宋体" w:eastAsia="宋体" w:cs="宋体"/>
                <w:color w:val="auto"/>
                <w:sz w:val="21"/>
                <w:szCs w:val="21"/>
                <w:lang w:val="en-US" w:eastAsia="zh-CN"/>
              </w:rPr>
              <w:t>80</w:t>
            </w:r>
            <w:r>
              <w:rPr>
                <w:rFonts w:hint="eastAsia" w:ascii="宋体" w:hAnsi="宋体" w:eastAsia="宋体" w:cs="宋体"/>
                <w:color w:val="auto"/>
                <w:sz w:val="21"/>
                <w:szCs w:val="21"/>
              </w:rPr>
              <w:t>个日历天（不扣除法定节假日及工休日）</w:t>
            </w:r>
            <w:r>
              <w:rPr>
                <w:rFonts w:hint="eastAsia" w:ascii="宋体" w:hAnsi="宋体" w:eastAsia="宋体" w:cs="宋体"/>
                <w:color w:val="auto"/>
                <w:sz w:val="21"/>
                <w:szCs w:val="21"/>
                <w:lang w:eastAsia="zh-CN"/>
              </w:rPr>
              <w:t>，装修工程时间：6楼/</w:t>
            </w:r>
            <w:r>
              <w:rPr>
                <w:rFonts w:hint="eastAsia" w:ascii="宋体" w:hAnsi="宋体" w:eastAsia="宋体" w:cs="宋体"/>
                <w:color w:val="auto"/>
                <w:sz w:val="21"/>
                <w:szCs w:val="21"/>
                <w:lang w:val="en-US" w:eastAsia="zh-CN"/>
              </w:rPr>
              <w:t>竣工时间</w:t>
            </w:r>
            <w:r>
              <w:rPr>
                <w:rFonts w:hint="eastAsia" w:ascii="宋体" w:hAnsi="宋体" w:eastAsia="宋体" w:cs="宋体"/>
                <w:color w:val="auto"/>
                <w:sz w:val="21"/>
                <w:szCs w:val="21"/>
                <w:lang w:eastAsia="zh-CN"/>
              </w:rPr>
              <w:t>8月20日、7楼/竣工时间9月10日</w:t>
            </w:r>
            <w:r>
              <w:rPr>
                <w:rFonts w:hint="eastAsia" w:ascii="宋体" w:hAnsi="宋体" w:eastAsia="宋体" w:cs="宋体"/>
                <w:color w:val="auto"/>
                <w:sz w:val="21"/>
                <w:szCs w:val="21"/>
              </w:rPr>
              <w:t>。</w:t>
            </w:r>
          </w:p>
        </w:tc>
      </w:tr>
      <w:bookmarkEnd w:id="1"/>
    </w:tbl>
    <w:p w14:paraId="4DAF7CE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i w:val="0"/>
          <w:iCs w:val="0"/>
          <w:color w:val="auto"/>
          <w:sz w:val="21"/>
          <w:szCs w:val="21"/>
          <w:lang w:val="en-US" w:eastAsia="zh-CN"/>
        </w:rPr>
      </w:pPr>
    </w:p>
    <w:p w14:paraId="3BE9DC8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宋体" w:hAnsi="宋体" w:eastAsia="宋体" w:cs="宋体"/>
          <w:b/>
          <w:bCs/>
          <w:i w:val="0"/>
          <w:iCs w:val="0"/>
          <w:color w:val="auto"/>
          <w:sz w:val="21"/>
          <w:szCs w:val="21"/>
          <w:lang w:val="en-US" w:eastAsia="zh-CN"/>
        </w:rPr>
      </w:pPr>
    </w:p>
    <w:p w14:paraId="3CD1A4F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0"/>
        <w:rPr>
          <w:rFonts w:hint="eastAsia" w:ascii="宋体" w:hAnsi="宋体" w:eastAsia="宋体" w:cs="宋体"/>
          <w:b/>
          <w:bCs/>
          <w:i w:val="0"/>
          <w:iCs w:val="0"/>
          <w:color w:val="auto"/>
          <w:sz w:val="21"/>
          <w:szCs w:val="21"/>
          <w:lang w:val="en-US" w:eastAsia="zh-CN"/>
        </w:rPr>
      </w:pPr>
      <w:bookmarkStart w:id="2" w:name="_Toc2737"/>
      <w:r>
        <w:rPr>
          <w:rFonts w:hint="eastAsia" w:ascii="宋体" w:hAnsi="宋体" w:eastAsia="宋体" w:cs="宋体"/>
          <w:b/>
          <w:bCs/>
          <w:i w:val="0"/>
          <w:iCs w:val="0"/>
          <w:color w:val="auto"/>
          <w:sz w:val="21"/>
          <w:szCs w:val="21"/>
          <w:lang w:val="en-US" w:eastAsia="zh-CN"/>
        </w:rPr>
        <w:t xml:space="preserve">第二章  </w:t>
      </w:r>
      <w:r>
        <w:rPr>
          <w:rFonts w:hint="eastAsia" w:ascii="宋体" w:hAnsi="宋体" w:eastAsia="宋体" w:cs="宋体"/>
          <w:b/>
          <w:bCs/>
          <w:i w:val="0"/>
          <w:iCs w:val="0"/>
          <w:color w:val="auto"/>
          <w:sz w:val="21"/>
          <w:szCs w:val="21"/>
        </w:rPr>
        <w:t>重要分项工程的</w:t>
      </w:r>
      <w:r>
        <w:rPr>
          <w:rFonts w:hint="eastAsia" w:ascii="宋体" w:hAnsi="宋体" w:eastAsia="宋体" w:cs="宋体"/>
          <w:b/>
          <w:bCs/>
          <w:i w:val="0"/>
          <w:iCs w:val="0"/>
          <w:color w:val="auto"/>
          <w:sz w:val="21"/>
          <w:szCs w:val="21"/>
          <w:lang w:val="en-US" w:eastAsia="zh-CN"/>
        </w:rPr>
        <w:t>设计要求</w:t>
      </w:r>
      <w:bookmarkEnd w:id="2"/>
    </w:p>
    <w:p w14:paraId="609A2124">
      <w:pPr>
        <w:rPr>
          <w:rFonts w:hint="eastAsia" w:ascii="宋体" w:hAnsi="宋体" w:eastAsia="宋体" w:cs="宋体"/>
          <w:color w:val="auto"/>
          <w:sz w:val="21"/>
          <w:szCs w:val="21"/>
          <w:lang w:val="en-US" w:eastAsia="zh-CN"/>
        </w:rPr>
      </w:pPr>
    </w:p>
    <w:p w14:paraId="0A9FF821">
      <w:pPr>
        <w:numPr>
          <w:ilvl w:val="0"/>
          <w:numId w:val="1"/>
        </w:numPr>
        <w:spacing w:line="360" w:lineRule="auto"/>
        <w:outlineLvl w:val="1"/>
        <w:rPr>
          <w:rFonts w:hint="eastAsia"/>
          <w:b/>
          <w:bCs/>
          <w:color w:val="auto"/>
          <w:lang w:val="en-US" w:eastAsia="zh-CN"/>
        </w:rPr>
      </w:pPr>
      <w:bookmarkStart w:id="3" w:name="_Toc30294"/>
      <w:r>
        <w:rPr>
          <w:rFonts w:hint="eastAsia" w:ascii="宋体" w:hAnsi="宋体" w:eastAsia="宋体" w:cs="宋体"/>
          <w:b/>
          <w:bCs/>
          <w:color w:val="auto"/>
          <w:sz w:val="21"/>
          <w:szCs w:val="21"/>
        </w:rPr>
        <w:t>地面材料</w:t>
      </w:r>
      <w:r>
        <w:rPr>
          <w:rFonts w:hint="eastAsia" w:ascii="宋体" w:hAnsi="宋体" w:eastAsia="宋体" w:cs="宋体"/>
          <w:b/>
          <w:bCs/>
          <w:color w:val="auto"/>
          <w:sz w:val="21"/>
          <w:szCs w:val="21"/>
          <w:lang w:val="en-US" w:eastAsia="zh-CN"/>
        </w:rPr>
        <w:t>参数与施工说明</w:t>
      </w:r>
      <w:bookmarkEnd w:id="3"/>
    </w:p>
    <w:p w14:paraId="499D7A09">
      <w:pPr>
        <w:keepNext w:val="0"/>
        <w:keepLines w:val="0"/>
        <w:widowControl/>
        <w:suppressLineNumbers w:val="0"/>
        <w:spacing w:line="360" w:lineRule="auto"/>
        <w:ind w:firstLine="422" w:firstLineChars="200"/>
        <w:jc w:val="left"/>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val="en-US" w:eastAsia="zh-CN" w:bidi="ar"/>
        </w:rPr>
        <w:t xml:space="preserve">1.1钢钎维混凝土材料的配比 </w:t>
      </w:r>
    </w:p>
    <w:p w14:paraId="61D4342E">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混凝土应采用以下标准提供：</w:t>
      </w:r>
    </w:p>
    <w:p w14:paraId="29842916">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掺钢纤维 25kg/m³钢纤维（钢纤维用水溶性胶水粘接成排，两端弯钩；钢纤维长度 50mm,直径 0.9mm、长径比 40-100.最小抗拉强度 1150MPa） </w:t>
      </w:r>
    </w:p>
    <w:p w14:paraId="58159461">
      <w:pPr>
        <w:keepNext w:val="0"/>
        <w:keepLines w:val="0"/>
        <w:widowControl/>
        <w:suppressLineNumbers w:val="0"/>
        <w:spacing w:line="360" w:lineRule="auto"/>
        <w:ind w:firstLine="420" w:firstLineChars="20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混凝土平均厚度≥120mm</w:t>
      </w:r>
    </w:p>
    <w:p w14:paraId="6A437203">
      <w:pPr>
        <w:keepNext w:val="0"/>
        <w:keepLines w:val="0"/>
        <w:widowControl/>
        <w:suppressLineNumbers w:val="0"/>
        <w:spacing w:line="360" w:lineRule="auto"/>
        <w:ind w:firstLine="420" w:firstLineChars="20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混凝土浇筑后平整度要求为：3M靠尺误差5mm以内</w:t>
      </w:r>
    </w:p>
    <w:p w14:paraId="7508BD94">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混凝土标号：≥ C30Mpa </w:t>
      </w:r>
    </w:p>
    <w:p w14:paraId="3CF21C83">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水灰比： ≤ 0.45 </w:t>
      </w:r>
    </w:p>
    <w:p w14:paraId="2372E941">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坍落度：160±20mm (到现场) </w:t>
      </w:r>
    </w:p>
    <w:p w14:paraId="72088EB6">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水泥含量： ≥ 260kg/m3 </w:t>
      </w:r>
    </w:p>
    <w:p w14:paraId="32B185F7">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沙的规格：河沙细度模数 2.4～2.7, 含泥量少于 1％； </w:t>
      </w:r>
    </w:p>
    <w:p w14:paraId="5F77D955">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骨料规格：级配良好的骨料, 石子采用花岗岩碎石, 最大粒径不大于 30mm；</w:t>
      </w:r>
    </w:p>
    <w:p w14:paraId="1CF6AC8A">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添加剂：使用高品质的高效减水剂，粉煤灰的加入量不得超过 10%。粉煤灰的用量视浇 筑混凝时周围温度适当增减，浇筑过程中要对混凝土进行正确的振捣。混凝土中不得加入引气剂及其他产生气体的外加剂。</w:t>
      </w:r>
    </w:p>
    <w:p w14:paraId="4E0285DB">
      <w:pPr>
        <w:keepNext w:val="0"/>
        <w:keepLines w:val="0"/>
        <w:widowControl/>
        <w:suppressLineNumbers w:val="0"/>
        <w:spacing w:line="360" w:lineRule="auto"/>
        <w:jc w:val="left"/>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1.2金刚砂：</w:t>
      </w:r>
    </w:p>
    <w:p w14:paraId="7E580914">
      <w:pPr>
        <w:keepNext w:val="0"/>
        <w:keepLines w:val="0"/>
        <w:widowControl/>
        <w:suppressLineNumbers w:val="0"/>
        <w:spacing w:line="360" w:lineRule="auto"/>
        <w:ind w:firstLine="420" w:firstLineChars="200"/>
        <w:jc w:val="left"/>
        <w:rPr>
          <w:rFonts w:hint="eastAsia"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用量:7kg/㎡</w:t>
      </w:r>
    </w:p>
    <w:p w14:paraId="0ED031F9">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lang w:val="en-US" w:eastAsia="zh-CN" w:bidi="ar"/>
        </w:rPr>
        <w:t>抗压强度,28d≥80.0MPa</w:t>
      </w:r>
    </w:p>
    <w:p w14:paraId="0B95F7C6">
      <w:pPr>
        <w:keepNext w:val="0"/>
        <w:keepLines w:val="0"/>
        <w:widowControl/>
        <w:suppressLineNumbers w:val="0"/>
        <w:spacing w:line="360" w:lineRule="auto"/>
        <w:jc w:val="left"/>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1.3锂基液体硬化剂：</w:t>
      </w:r>
    </w:p>
    <w:p w14:paraId="6581EE2D">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用量0.3kg/㎡</w:t>
      </w:r>
    </w:p>
    <w:p w14:paraId="06CD97BC">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DpH值&gt;115</w:t>
      </w:r>
    </w:p>
    <w:p w14:paraId="0BA71652">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24H表面吸水量≤5mm</w:t>
      </w:r>
    </w:p>
    <w:p w14:paraId="7DD8EDB4">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24H表面吸水量降低率≥80%</w:t>
      </w:r>
    </w:p>
    <w:p w14:paraId="06CED6F2">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耐磨度比≥140%</w:t>
      </w:r>
    </w:p>
    <w:p w14:paraId="1C68A171">
      <w:pPr>
        <w:keepNext w:val="0"/>
        <w:keepLines w:val="0"/>
        <w:widowControl/>
        <w:suppressLineNumbers w:val="0"/>
        <w:spacing w:line="360" w:lineRule="auto"/>
        <w:ind w:firstLine="420"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莫氏硬度： 7.0</w:t>
      </w:r>
    </w:p>
    <w:p w14:paraId="539FF135">
      <w:pPr>
        <w:numPr>
          <w:ilvl w:val="0"/>
          <w:numId w:val="0"/>
        </w:numPr>
        <w:spacing w:line="360" w:lineRule="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1.4办公区地面处理：</w:t>
      </w:r>
    </w:p>
    <w:p w14:paraId="4CDB2BAB">
      <w:pPr>
        <w:numPr>
          <w:ilvl w:val="0"/>
          <w:numId w:val="0"/>
        </w:numPr>
        <w:spacing w:line="360" w:lineRule="auto"/>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highlight w:val="yellow"/>
          <w:lang w:val="en-US" w:eastAsia="zh-CN"/>
        </w:rPr>
        <w:t>如后期改为铺设瓷砖，以实际情况做增减项。</w:t>
      </w:r>
    </w:p>
    <w:p w14:paraId="7624801D">
      <w:pPr>
        <w:numPr>
          <w:ilvl w:val="0"/>
          <w:numId w:val="2"/>
        </w:numPr>
        <w:spacing w:line="360" w:lineRule="auto"/>
        <w:outlineLvl w:val="1"/>
        <w:rPr>
          <w:rFonts w:hint="eastAsia" w:ascii="宋体" w:hAnsi="宋体" w:eastAsia="宋体" w:cs="宋体"/>
          <w:b/>
          <w:bCs/>
          <w:color w:val="auto"/>
          <w:sz w:val="21"/>
          <w:szCs w:val="21"/>
          <w:lang w:val="en-US" w:eastAsia="zh-CN"/>
        </w:rPr>
      </w:pPr>
      <w:bookmarkStart w:id="4" w:name="_Toc2265"/>
      <w:r>
        <w:rPr>
          <w:rFonts w:hint="eastAsia" w:ascii="宋体" w:hAnsi="宋体" w:eastAsia="宋体" w:cs="宋体"/>
          <w:b/>
          <w:bCs/>
          <w:color w:val="auto"/>
          <w:sz w:val="21"/>
          <w:szCs w:val="21"/>
          <w:lang w:val="en-US" w:eastAsia="zh-CN"/>
        </w:rPr>
        <w:t>洁净车间设计参数与说明</w:t>
      </w:r>
      <w:bookmarkEnd w:id="4"/>
    </w:p>
    <w:p w14:paraId="1D9BD1CA">
      <w:pPr>
        <w:numPr>
          <w:ilvl w:val="0"/>
          <w:numId w:val="0"/>
        </w:numPr>
        <w:spacing w:line="360" w:lineRule="auto"/>
        <w:ind w:firstLine="422" w:firstLineChars="20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本项目所涉及洁净车间部分（PCBA车间、电子料仓等）采用物理式净化方式。</w:t>
      </w:r>
    </w:p>
    <w:p w14:paraId="67471D1E">
      <w:pPr>
        <w:numPr>
          <w:ilvl w:val="0"/>
          <w:numId w:val="0"/>
        </w:numPr>
        <w:spacing w:line="360" w:lineRule="auto"/>
        <w:ind w:firstLine="422" w:firstLineChars="20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2.1洁净度等级要求</w:t>
      </w:r>
    </w:p>
    <w:p w14:paraId="05AF0240">
      <w:pPr>
        <w:numPr>
          <w:ilvl w:val="0"/>
          <w:numId w:val="0"/>
        </w:numPr>
        <w:spacing w:line="360" w:lineRule="auto"/>
        <w:ind w:firstLine="420" w:firstLineChars="200"/>
        <w:rPr>
          <w:rFonts w:hint="eastAsia" w:ascii="宋体" w:hAnsi="宋体" w:eastAsia="宋体" w:cs="宋体"/>
          <w:b w:val="0"/>
          <w:bCs w:val="0"/>
          <w:color w:val="auto"/>
          <w:sz w:val="21"/>
          <w:szCs w:val="21"/>
        </w:rPr>
      </w:pPr>
      <w:r>
        <w:rPr>
          <w:rFonts w:hint="eastAsia" w:ascii="宋体" w:hAnsi="宋体" w:eastAsia="宋体" w:cs="宋体"/>
          <w:color w:val="auto"/>
          <w:sz w:val="21"/>
          <w:szCs w:val="21"/>
        </w:rPr>
        <w:t>根据ISO 14644</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标准</w:t>
      </w:r>
      <w:r>
        <w:rPr>
          <w:rFonts w:hint="eastAsia" w:ascii="宋体" w:hAnsi="宋体" w:eastAsia="宋体" w:cs="宋体"/>
          <w:color w:val="auto"/>
          <w:sz w:val="21"/>
          <w:szCs w:val="21"/>
          <w:lang w:val="en-US" w:eastAsia="zh-CN"/>
        </w:rPr>
        <w:t>及中国国家标准（GB 50073）</w:t>
      </w:r>
      <w:r>
        <w:rPr>
          <w:rFonts w:hint="eastAsia" w:ascii="宋体" w:hAnsi="宋体" w:eastAsia="宋体" w:cs="宋体"/>
          <w:color w:val="auto"/>
          <w:sz w:val="21"/>
          <w:szCs w:val="21"/>
        </w:rPr>
        <w:t>或类似的国际/国内标准，洁净度等级为</w:t>
      </w:r>
      <w:r>
        <w:rPr>
          <w:rFonts w:hint="eastAsia" w:ascii="宋体" w:hAnsi="宋体" w:eastAsia="宋体" w:cs="宋体"/>
          <w:b w:val="0"/>
          <w:bCs w:val="0"/>
          <w:color w:val="auto"/>
          <w:sz w:val="21"/>
          <w:szCs w:val="21"/>
        </w:rPr>
        <w:t xml:space="preserve">ISO </w:t>
      </w:r>
      <w:r>
        <w:rPr>
          <w:rFonts w:hint="eastAsia" w:ascii="宋体" w:hAnsi="宋体" w:eastAsia="宋体" w:cs="宋体"/>
          <w:b w:val="0"/>
          <w:bCs w:val="0"/>
          <w:color w:val="auto"/>
          <w:sz w:val="21"/>
          <w:szCs w:val="21"/>
          <w:lang w:val="en-US" w:eastAsia="zh-CN"/>
        </w:rPr>
        <w:t>7</w:t>
      </w:r>
      <w:r>
        <w:rPr>
          <w:rFonts w:hint="eastAsia" w:ascii="宋体" w:hAnsi="宋体" w:eastAsia="宋体" w:cs="宋体"/>
          <w:b w:val="0"/>
          <w:bCs w:val="0"/>
          <w:color w:val="auto"/>
          <w:sz w:val="21"/>
          <w:szCs w:val="21"/>
        </w:rPr>
        <w:t>级至ISO9级</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约CLass:70000-200000</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rPr>
        <w:t>。</w:t>
      </w:r>
    </w:p>
    <w:p w14:paraId="70C9879F">
      <w:pPr>
        <w:numPr>
          <w:ilvl w:val="0"/>
          <w:numId w:val="0"/>
        </w:numPr>
        <w:spacing w:line="360" w:lineRule="auto"/>
        <w:ind w:firstLine="422" w:firstLineChars="20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2.2主要设备说明</w:t>
      </w:r>
    </w:p>
    <w:p w14:paraId="29268C91">
      <w:pPr>
        <w:numPr>
          <w:ilvl w:val="0"/>
          <w:numId w:val="0"/>
        </w:numPr>
        <w:spacing w:line="360" w:lineRule="auto"/>
        <w:ind w:firstLine="420" w:firstLineChars="200"/>
        <w:rPr>
          <w:rFonts w:hint="eastAsia" w:ascii="宋体" w:hAnsi="宋体" w:eastAsia="宋体" w:cs="宋体"/>
          <w:i w:val="0"/>
          <w:caps w:val="0"/>
          <w:color w:val="auto"/>
          <w:spacing w:val="0"/>
          <w:sz w:val="21"/>
          <w:szCs w:val="21"/>
          <w:shd w:val="clear" w:fill="FFFFFF"/>
        </w:rPr>
      </w:pPr>
      <w:r>
        <w:rPr>
          <w:rFonts w:hint="eastAsia" w:ascii="宋体" w:hAnsi="宋体" w:eastAsia="宋体" w:cs="宋体"/>
          <w:i w:val="0"/>
          <w:caps w:val="0"/>
          <w:color w:val="auto"/>
          <w:spacing w:val="0"/>
          <w:sz w:val="21"/>
          <w:szCs w:val="21"/>
          <w:shd w:val="clear" w:fill="FFFFFF"/>
        </w:rPr>
        <w:t>机械性过滤—HEPA网　</w:t>
      </w:r>
    </w:p>
    <w:p w14:paraId="6910A52C">
      <w:pPr>
        <w:numPr>
          <w:ilvl w:val="0"/>
          <w:numId w:val="0"/>
        </w:numPr>
        <w:spacing w:line="360" w:lineRule="auto"/>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eastAsia="宋体" w:cs="宋体"/>
          <w:i w:val="0"/>
          <w:caps w:val="0"/>
          <w:color w:val="auto"/>
          <w:spacing w:val="0"/>
          <w:sz w:val="21"/>
          <w:szCs w:val="21"/>
          <w:shd w:val="clear" w:fill="FFFFFF"/>
        </w:rPr>
        <w:t>HEPA(High efficiency particulate air Filter)，意为高效空气过滤器，达到HEPA标准的过滤网，对于0.3微米的有效率达到99.998%，HEPA网的特点是空气可以通过，但细小的微粒却无法通过。HEPA过滤网由一叠连续前后折叠的亚玻璃纤维膜构成，形成波浪状垫片用来放置和支撑过滤界质</w:t>
      </w:r>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如有用到，参照此标准</w:t>
      </w:r>
      <w:r>
        <w:rPr>
          <w:rFonts w:hint="eastAsia" w:ascii="宋体" w:hAnsi="宋体" w:eastAsia="宋体" w:cs="宋体"/>
          <w:i w:val="0"/>
          <w:caps w:val="0"/>
          <w:color w:val="auto"/>
          <w:spacing w:val="0"/>
          <w:sz w:val="21"/>
          <w:szCs w:val="21"/>
          <w:shd w:val="clear" w:fill="FFFFFF"/>
          <w:lang w:eastAsia="zh-CN"/>
        </w:rPr>
        <w:t>）</w:t>
      </w:r>
    </w:p>
    <w:p w14:paraId="281F0528">
      <w:pPr>
        <w:numPr>
          <w:ilvl w:val="0"/>
          <w:numId w:val="0"/>
        </w:numPr>
        <w:spacing w:line="360" w:lineRule="auto"/>
        <w:ind w:firstLine="422" w:firstLineChars="20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2.3隔断及门窗处理</w:t>
      </w:r>
    </w:p>
    <w:p w14:paraId="6EC90562">
      <w:pPr>
        <w:numPr>
          <w:ilvl w:val="0"/>
          <w:numId w:val="0"/>
        </w:numPr>
        <w:spacing w:line="360" w:lineRule="auto"/>
        <w:ind w:firstLine="420" w:firstLineChars="200"/>
        <w:rPr>
          <w:rFonts w:hint="eastAsia" w:ascii="宋体" w:hAnsi="宋体" w:eastAsia="宋体" w:cs="宋体"/>
          <w:i w:val="0"/>
          <w:caps w:val="0"/>
          <w:color w:val="auto"/>
          <w:spacing w:val="0"/>
          <w:sz w:val="21"/>
          <w:szCs w:val="21"/>
          <w:shd w:val="clear" w:fill="FFFFFF"/>
          <w:lang w:eastAsia="zh-CN"/>
        </w:rPr>
      </w:pPr>
      <w:r>
        <w:rPr>
          <w:rFonts w:hint="eastAsia" w:ascii="宋体" w:hAnsi="宋体" w:eastAsia="宋体" w:cs="宋体"/>
          <w:i w:val="0"/>
          <w:caps w:val="0"/>
          <w:color w:val="auto"/>
          <w:spacing w:val="0"/>
          <w:sz w:val="21"/>
          <w:szCs w:val="21"/>
          <w:shd w:val="clear" w:fill="FFFFFF"/>
          <w:lang w:val="en-US" w:eastAsia="zh-CN"/>
        </w:rPr>
        <w:t>洁净车间室内</w:t>
      </w:r>
      <w:r>
        <w:rPr>
          <w:rFonts w:hint="eastAsia" w:ascii="宋体" w:hAnsi="宋体" w:eastAsia="宋体" w:cs="宋体"/>
          <w:i w:val="0"/>
          <w:caps w:val="0"/>
          <w:color w:val="auto"/>
          <w:spacing w:val="0"/>
          <w:sz w:val="21"/>
          <w:szCs w:val="21"/>
          <w:shd w:val="clear" w:fill="FFFFFF"/>
        </w:rPr>
        <w:t>墙、顶板材采用</w:t>
      </w:r>
      <w:r>
        <w:rPr>
          <w:rFonts w:hint="eastAsia" w:ascii="宋体" w:hAnsi="宋体" w:eastAsia="宋体" w:cs="宋体"/>
          <w:b w:val="0"/>
          <w:bCs w:val="0"/>
          <w:i w:val="0"/>
          <w:caps w:val="0"/>
          <w:color w:val="auto"/>
          <w:spacing w:val="0"/>
          <w:sz w:val="21"/>
          <w:szCs w:val="21"/>
          <w:shd w:val="clear" w:fill="FFFFFF"/>
          <w:lang w:val="en-US" w:eastAsia="zh-CN"/>
        </w:rPr>
        <w:t>7</w:t>
      </w:r>
      <w:r>
        <w:rPr>
          <w:rFonts w:hint="eastAsia" w:ascii="宋体" w:hAnsi="宋体" w:eastAsia="宋体" w:cs="宋体"/>
          <w:b w:val="0"/>
          <w:bCs w:val="0"/>
          <w:i w:val="0"/>
          <w:caps w:val="0"/>
          <w:color w:val="auto"/>
          <w:spacing w:val="0"/>
          <w:sz w:val="21"/>
          <w:szCs w:val="21"/>
          <w:shd w:val="clear" w:fill="FFFFFF"/>
        </w:rPr>
        <w:t>0mm</w:t>
      </w:r>
      <w:r>
        <w:rPr>
          <w:rFonts w:hint="eastAsia" w:ascii="宋体" w:hAnsi="宋体" w:eastAsia="宋体" w:cs="宋体"/>
          <w:i w:val="0"/>
          <w:caps w:val="0"/>
          <w:color w:val="auto"/>
          <w:spacing w:val="0"/>
          <w:sz w:val="21"/>
          <w:szCs w:val="21"/>
          <w:shd w:val="clear" w:fill="FFFFFF"/>
        </w:rPr>
        <w:t>厚的夹芯彩钢板制造。圆弧墙角、门、窗框等采用专用氧化铝型材制造</w:t>
      </w:r>
      <w:r>
        <w:rPr>
          <w:rFonts w:hint="eastAsia" w:ascii="宋体" w:hAnsi="宋体" w:eastAsia="宋体" w:cs="宋体"/>
          <w:i w:val="0"/>
          <w:caps w:val="0"/>
          <w:color w:val="auto"/>
          <w:spacing w:val="0"/>
          <w:sz w:val="21"/>
          <w:szCs w:val="21"/>
          <w:shd w:val="clear" w:fill="FFFFFF"/>
          <w:lang w:eastAsia="zh-CN"/>
        </w:rPr>
        <w:t>。</w:t>
      </w:r>
    </w:p>
    <w:p w14:paraId="5312C07A">
      <w:pPr>
        <w:numPr>
          <w:ilvl w:val="0"/>
          <w:numId w:val="0"/>
        </w:numPr>
        <w:spacing w:line="360" w:lineRule="auto"/>
        <w:ind w:firstLine="422" w:firstLineChars="20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2.4地面处理</w:t>
      </w:r>
    </w:p>
    <w:p w14:paraId="01662724">
      <w:pPr>
        <w:numPr>
          <w:ilvl w:val="0"/>
          <w:numId w:val="0"/>
        </w:numPr>
        <w:spacing w:line="360" w:lineRule="auto"/>
        <w:ind w:firstLine="420" w:firstLineChars="200"/>
        <w:rPr>
          <w:rFonts w:hint="eastAsia" w:ascii="宋体" w:hAnsi="宋体" w:eastAsia="宋体" w:cs="宋体"/>
          <w:b w:val="0"/>
          <w:i w:val="0"/>
          <w:caps w:val="0"/>
          <w:color w:val="auto"/>
          <w:spacing w:val="0"/>
          <w:kern w:val="2"/>
          <w:sz w:val="21"/>
          <w:szCs w:val="21"/>
          <w:shd w:val="clear" w:fill="FFFFFF"/>
          <w:lang w:val="en-US" w:eastAsia="zh-CN" w:bidi="ar-SA"/>
        </w:rPr>
      </w:pPr>
      <w:r>
        <w:rPr>
          <w:rFonts w:hint="eastAsia" w:ascii="宋体" w:hAnsi="宋体" w:eastAsia="宋体" w:cs="宋体"/>
          <w:b w:val="0"/>
          <w:i w:val="0"/>
          <w:caps w:val="0"/>
          <w:color w:val="auto"/>
          <w:spacing w:val="0"/>
          <w:kern w:val="2"/>
          <w:sz w:val="21"/>
          <w:szCs w:val="21"/>
          <w:shd w:val="clear" w:fill="FFFFFF"/>
          <w:lang w:val="en-US" w:eastAsia="zh-CN" w:bidi="ar-SA"/>
        </w:rPr>
        <w:t>地面采用环氧自流坪地坪，接防静电铜箔（接地电阻不大于4Ω）。</w:t>
      </w:r>
    </w:p>
    <w:p w14:paraId="2B76A55A">
      <w:pPr>
        <w:numPr>
          <w:ilvl w:val="0"/>
          <w:numId w:val="0"/>
        </w:numPr>
        <w:spacing w:line="360" w:lineRule="auto"/>
        <w:ind w:firstLine="422" w:firstLineChars="200"/>
        <w:rPr>
          <w:rFonts w:hint="default"/>
          <w:highlight w:val="yellow"/>
          <w:lang w:val="en-US" w:eastAsia="zh-CN"/>
        </w:rPr>
      </w:pPr>
      <w:r>
        <w:rPr>
          <w:rFonts w:hint="eastAsia" w:ascii="宋体" w:hAnsi="宋体" w:eastAsia="宋体" w:cs="宋体"/>
          <w:b/>
          <w:bCs/>
          <w:i w:val="0"/>
          <w:caps w:val="0"/>
          <w:color w:val="auto"/>
          <w:spacing w:val="0"/>
          <w:sz w:val="21"/>
          <w:szCs w:val="21"/>
          <w:highlight w:val="yellow"/>
          <w:shd w:val="clear" w:fill="FFFFFF"/>
          <w:lang w:val="en-US" w:eastAsia="zh-CN"/>
        </w:rPr>
        <w:t>3.其它设计要求</w:t>
      </w:r>
    </w:p>
    <w:p w14:paraId="7AD135F0">
      <w:pPr>
        <w:numPr>
          <w:ilvl w:val="0"/>
          <w:numId w:val="0"/>
        </w:numPr>
        <w:spacing w:line="360" w:lineRule="auto"/>
        <w:ind w:firstLine="420" w:firstLineChars="200"/>
        <w:rPr>
          <w:rFonts w:hint="default"/>
          <w:highlight w:val="yellow"/>
          <w:lang w:val="en-US" w:eastAsia="zh-CN"/>
        </w:rPr>
      </w:pPr>
      <w:r>
        <w:rPr>
          <w:rFonts w:hint="eastAsia" w:ascii="宋体" w:hAnsi="宋体" w:eastAsia="宋体" w:cs="宋体"/>
          <w:i w:val="0"/>
          <w:caps w:val="0"/>
          <w:color w:val="auto"/>
          <w:spacing w:val="0"/>
          <w:sz w:val="21"/>
          <w:szCs w:val="21"/>
          <w:highlight w:val="yellow"/>
          <w:shd w:val="clear" w:fill="FFFFFF"/>
          <w:lang w:val="en-US" w:eastAsia="zh-CN"/>
        </w:rPr>
        <w:t>3.1办公区隔断采用12mm厚钢化玻璃外贴磨砂膜。</w:t>
      </w:r>
    </w:p>
    <w:p w14:paraId="3797D887">
      <w:pPr>
        <w:numPr>
          <w:ilvl w:val="0"/>
          <w:numId w:val="0"/>
        </w:numPr>
        <w:spacing w:line="360" w:lineRule="auto"/>
        <w:ind w:firstLine="420" w:firstLineChars="200"/>
        <w:rPr>
          <w:rFonts w:hint="eastAsia"/>
          <w:highlight w:val="yellow"/>
        </w:rPr>
      </w:pPr>
      <w:r>
        <w:rPr>
          <w:rFonts w:hint="eastAsia" w:ascii="宋体" w:hAnsi="宋体" w:eastAsia="宋体" w:cs="宋体"/>
          <w:i w:val="0"/>
          <w:caps w:val="0"/>
          <w:color w:val="auto"/>
          <w:spacing w:val="0"/>
          <w:sz w:val="21"/>
          <w:szCs w:val="21"/>
          <w:highlight w:val="yellow"/>
          <w:shd w:val="clear" w:fill="FFFFFF"/>
          <w:lang w:val="en-US" w:eastAsia="zh-CN"/>
        </w:rPr>
        <w:t>3.2</w:t>
      </w:r>
      <w:r>
        <w:rPr>
          <w:rFonts w:hint="eastAsia" w:ascii="宋体" w:hAnsi="宋体" w:eastAsia="宋体" w:cs="宋体"/>
          <w:i w:val="0"/>
          <w:caps w:val="0"/>
          <w:color w:val="auto"/>
          <w:spacing w:val="0"/>
          <w:sz w:val="21"/>
          <w:szCs w:val="21"/>
          <w:highlight w:val="yellow"/>
          <w:shd w:val="clear" w:fill="FFFFFF"/>
        </w:rPr>
        <w:t>送回风管道用热渡锌板制成，贴净化保温效果好的阻燃型PF发泡塑胶板。</w:t>
      </w:r>
    </w:p>
    <w:p w14:paraId="15A8DB7D">
      <w:pPr>
        <w:numPr>
          <w:ilvl w:val="0"/>
          <w:numId w:val="0"/>
        </w:numPr>
        <w:spacing w:line="360" w:lineRule="auto"/>
        <w:ind w:firstLine="420" w:firstLineChars="200"/>
        <w:rPr>
          <w:rFonts w:hint="eastAsia"/>
          <w:highlight w:val="yellow"/>
          <w:lang w:eastAsia="zh-CN"/>
        </w:rPr>
      </w:pPr>
      <w:r>
        <w:rPr>
          <w:rFonts w:hint="eastAsia" w:ascii="宋体" w:hAnsi="宋体" w:eastAsia="宋体" w:cs="宋体"/>
          <w:i w:val="0"/>
          <w:caps w:val="0"/>
          <w:color w:val="auto"/>
          <w:spacing w:val="0"/>
          <w:sz w:val="21"/>
          <w:szCs w:val="21"/>
          <w:highlight w:val="yellow"/>
          <w:shd w:val="clear" w:fill="FFFFFF"/>
          <w:lang w:val="en-US" w:eastAsia="zh-CN"/>
        </w:rPr>
        <w:t>3.3</w:t>
      </w:r>
      <w:r>
        <w:rPr>
          <w:rFonts w:hint="eastAsia" w:ascii="宋体" w:hAnsi="宋体" w:eastAsia="宋体" w:cs="宋体"/>
          <w:i w:val="0"/>
          <w:caps w:val="0"/>
          <w:color w:val="auto"/>
          <w:spacing w:val="0"/>
          <w:sz w:val="21"/>
          <w:szCs w:val="21"/>
          <w:highlight w:val="yellow"/>
          <w:shd w:val="clear" w:fill="FFFFFF"/>
        </w:rPr>
        <w:t>高效送风口用不锈钢框架</w:t>
      </w:r>
      <w:r>
        <w:rPr>
          <w:rFonts w:hint="eastAsia" w:ascii="宋体" w:hAnsi="宋体" w:eastAsia="宋体" w:cs="宋体"/>
          <w:i w:val="0"/>
          <w:caps w:val="0"/>
          <w:color w:val="auto"/>
          <w:spacing w:val="0"/>
          <w:sz w:val="21"/>
          <w:szCs w:val="21"/>
          <w:highlight w:val="yellow"/>
          <w:shd w:val="clear" w:fill="FFFFFF"/>
          <w:lang w:eastAsia="zh-CN"/>
        </w:rPr>
        <w:t>，</w:t>
      </w:r>
      <w:r>
        <w:rPr>
          <w:rFonts w:hint="eastAsia" w:ascii="宋体" w:hAnsi="宋体" w:eastAsia="宋体" w:cs="宋体"/>
          <w:i w:val="0"/>
          <w:caps w:val="0"/>
          <w:color w:val="auto"/>
          <w:spacing w:val="0"/>
          <w:sz w:val="21"/>
          <w:szCs w:val="21"/>
          <w:highlight w:val="yellow"/>
          <w:shd w:val="clear" w:fill="FFFFFF"/>
        </w:rPr>
        <w:t>冲孔网板用烤漆铝板</w:t>
      </w:r>
      <w:r>
        <w:rPr>
          <w:rFonts w:hint="eastAsia" w:ascii="宋体" w:hAnsi="宋体" w:eastAsia="宋体" w:cs="宋体"/>
          <w:i w:val="0"/>
          <w:caps w:val="0"/>
          <w:color w:val="auto"/>
          <w:spacing w:val="0"/>
          <w:sz w:val="21"/>
          <w:szCs w:val="21"/>
          <w:highlight w:val="yellow"/>
          <w:shd w:val="clear" w:fill="FFFFFF"/>
          <w:lang w:eastAsia="zh-CN"/>
        </w:rPr>
        <w:t>。</w:t>
      </w:r>
    </w:p>
    <w:p w14:paraId="5EF865A1">
      <w:pPr>
        <w:numPr>
          <w:ilvl w:val="0"/>
          <w:numId w:val="0"/>
        </w:numPr>
        <w:spacing w:line="360" w:lineRule="auto"/>
        <w:ind w:firstLine="420" w:firstLineChars="200"/>
        <w:rPr>
          <w:rFonts w:hint="eastAsia" w:ascii="宋体" w:hAnsi="宋体" w:eastAsia="宋体" w:cs="宋体"/>
          <w:i w:val="0"/>
          <w:caps w:val="0"/>
          <w:color w:val="auto"/>
          <w:spacing w:val="0"/>
          <w:sz w:val="21"/>
          <w:szCs w:val="21"/>
          <w:highlight w:val="yellow"/>
          <w:shd w:val="clear" w:fill="FFFFFF"/>
          <w:lang w:val="en-US" w:eastAsia="zh-CN"/>
        </w:rPr>
      </w:pPr>
      <w:r>
        <w:rPr>
          <w:rFonts w:hint="eastAsia" w:ascii="宋体" w:hAnsi="宋体" w:eastAsia="宋体" w:cs="宋体"/>
          <w:i w:val="0"/>
          <w:caps w:val="0"/>
          <w:color w:val="auto"/>
          <w:spacing w:val="0"/>
          <w:sz w:val="21"/>
          <w:szCs w:val="21"/>
          <w:highlight w:val="yellow"/>
          <w:shd w:val="clear" w:fill="FFFFFF"/>
          <w:lang w:val="en-US" w:eastAsia="zh-CN"/>
        </w:rPr>
        <w:t>3.4顶部消防喷淋系统同吊顶连接处（烟感器、喷淋头）、人员进入风淋房同车间连接处做密封处理。</w:t>
      </w:r>
    </w:p>
    <w:p w14:paraId="3BB54308">
      <w:pPr>
        <w:numPr>
          <w:ilvl w:val="0"/>
          <w:numId w:val="0"/>
        </w:numPr>
        <w:spacing w:line="360" w:lineRule="auto"/>
        <w:ind w:firstLine="420" w:firstLineChars="200"/>
        <w:rPr>
          <w:rFonts w:hint="eastAsia" w:ascii="宋体" w:hAnsi="宋体" w:eastAsia="宋体" w:cs="宋体"/>
          <w:i w:val="0"/>
          <w:caps w:val="0"/>
          <w:color w:val="auto"/>
          <w:spacing w:val="0"/>
          <w:sz w:val="21"/>
          <w:szCs w:val="21"/>
          <w:highlight w:val="yellow"/>
          <w:shd w:val="clear" w:fill="FFFFFF"/>
          <w:lang w:val="en-US" w:eastAsia="zh-CN"/>
        </w:rPr>
      </w:pPr>
      <w:r>
        <w:rPr>
          <w:rFonts w:hint="eastAsia" w:ascii="宋体" w:hAnsi="宋体" w:eastAsia="宋体" w:cs="宋体"/>
          <w:i w:val="0"/>
          <w:caps w:val="0"/>
          <w:color w:val="auto"/>
          <w:spacing w:val="0"/>
          <w:sz w:val="21"/>
          <w:szCs w:val="21"/>
          <w:highlight w:val="yellow"/>
          <w:shd w:val="clear" w:fill="FFFFFF"/>
          <w:lang w:val="en-US" w:eastAsia="zh-CN"/>
        </w:rPr>
        <w:t>3.5实验区、PCBA车间、模组线、生产线需做设备置防静电接地连接线。</w:t>
      </w:r>
    </w:p>
    <w:p w14:paraId="64858E1B">
      <w:pPr>
        <w:numPr>
          <w:ilvl w:val="0"/>
          <w:numId w:val="0"/>
        </w:numPr>
        <w:spacing w:line="360" w:lineRule="auto"/>
        <w:ind w:firstLine="420" w:firstLineChars="200"/>
        <w:rPr>
          <w:rFonts w:hint="eastAsia" w:ascii="宋体" w:hAnsi="宋体" w:eastAsia="宋体" w:cs="宋体"/>
          <w:b w:val="0"/>
          <w:bCs w:val="0"/>
          <w:i w:val="0"/>
          <w:caps w:val="0"/>
          <w:color w:val="auto"/>
          <w:spacing w:val="0"/>
          <w:sz w:val="21"/>
          <w:szCs w:val="21"/>
          <w:highlight w:val="yellow"/>
          <w:shd w:val="clear" w:fill="FFFFFF"/>
          <w:lang w:val="en-US" w:eastAsia="zh-CN"/>
        </w:rPr>
      </w:pPr>
      <w:r>
        <w:rPr>
          <w:rFonts w:hint="eastAsia" w:ascii="宋体" w:hAnsi="宋体" w:eastAsia="宋体" w:cs="宋体"/>
          <w:b w:val="0"/>
          <w:bCs w:val="0"/>
          <w:i w:val="0"/>
          <w:caps w:val="0"/>
          <w:color w:val="auto"/>
          <w:spacing w:val="0"/>
          <w:sz w:val="21"/>
          <w:szCs w:val="21"/>
          <w:highlight w:val="yellow"/>
          <w:shd w:val="clear" w:fill="FFFFFF"/>
          <w:lang w:val="en-US" w:eastAsia="zh-CN"/>
        </w:rPr>
        <w:t>3.6弱电部分（需做补充，例如摄像头的设置要求、AP设置要求、办公室宽带端口设置要求等）。</w:t>
      </w:r>
    </w:p>
    <w:p w14:paraId="411D1963">
      <w:pPr>
        <w:numPr>
          <w:ilvl w:val="0"/>
          <w:numId w:val="0"/>
        </w:numPr>
        <w:spacing w:line="360" w:lineRule="auto"/>
        <w:ind w:firstLine="420" w:firstLineChars="200"/>
        <w:rPr>
          <w:rFonts w:hint="eastAsia" w:ascii="宋体" w:hAnsi="宋体" w:eastAsia="宋体" w:cs="宋体"/>
          <w:b w:val="0"/>
          <w:bCs w:val="0"/>
          <w:i w:val="0"/>
          <w:caps w:val="0"/>
          <w:color w:val="auto"/>
          <w:spacing w:val="0"/>
          <w:sz w:val="21"/>
          <w:szCs w:val="21"/>
          <w:highlight w:val="yellow"/>
          <w:shd w:val="clear" w:fill="FFFFFF"/>
          <w:lang w:val="en-US" w:eastAsia="zh-CN"/>
        </w:rPr>
      </w:pPr>
      <w:r>
        <w:rPr>
          <w:rFonts w:hint="eastAsia" w:ascii="宋体" w:hAnsi="宋体" w:eastAsia="宋体" w:cs="宋体"/>
          <w:b w:val="0"/>
          <w:bCs w:val="0"/>
          <w:i w:val="0"/>
          <w:caps w:val="0"/>
          <w:color w:val="auto"/>
          <w:spacing w:val="0"/>
          <w:sz w:val="21"/>
          <w:szCs w:val="21"/>
          <w:highlight w:val="yellow"/>
          <w:shd w:val="clear" w:fill="FFFFFF"/>
          <w:lang w:val="en-US" w:eastAsia="zh-CN"/>
        </w:rPr>
        <w:t>3.7立柱阳角需用警示防护板按60公分高度处理。</w:t>
      </w:r>
    </w:p>
    <w:p w14:paraId="439BEAEF">
      <w:pPr>
        <w:numPr>
          <w:ilvl w:val="0"/>
          <w:numId w:val="0"/>
        </w:numPr>
        <w:spacing w:line="360" w:lineRule="auto"/>
        <w:ind w:firstLine="420" w:firstLineChars="200"/>
        <w:rPr>
          <w:rFonts w:hint="default" w:ascii="宋体" w:hAnsi="宋体" w:eastAsia="宋体" w:cs="宋体"/>
          <w:b/>
          <w:bCs/>
          <w:i w:val="0"/>
          <w:caps w:val="0"/>
          <w:color w:val="auto"/>
          <w:spacing w:val="0"/>
          <w:sz w:val="21"/>
          <w:szCs w:val="21"/>
          <w:highlight w:val="yellow"/>
          <w:shd w:val="clear" w:fill="FFFFFF"/>
          <w:lang w:val="en-US" w:eastAsia="zh-CN"/>
        </w:rPr>
      </w:pPr>
      <w:r>
        <w:rPr>
          <w:rFonts w:hint="eastAsia" w:ascii="宋体" w:hAnsi="宋体" w:eastAsia="宋体" w:cs="宋体"/>
          <w:b w:val="0"/>
          <w:bCs w:val="0"/>
          <w:i w:val="0"/>
          <w:caps w:val="0"/>
          <w:color w:val="auto"/>
          <w:spacing w:val="0"/>
          <w:sz w:val="21"/>
          <w:szCs w:val="21"/>
          <w:highlight w:val="yellow"/>
          <w:shd w:val="clear" w:fill="FFFFFF"/>
          <w:lang w:val="en-US" w:eastAsia="zh-CN"/>
        </w:rPr>
        <w:t>3.8墙面维护要求除办公区以外，室内墙面需用方钢制作20公分以上高的防撞条。尺寸规格：突出墙面100MM，距离地面高度&gt;200MM，表面涂刷明黄色警示耐候漆。</w:t>
      </w:r>
    </w:p>
    <w:p w14:paraId="0175404D">
      <w:pPr>
        <w:numPr>
          <w:ilvl w:val="0"/>
          <w:numId w:val="0"/>
        </w:numPr>
        <w:spacing w:line="360" w:lineRule="auto"/>
        <w:ind w:firstLine="420" w:firstLineChars="200"/>
        <w:rPr>
          <w:rFonts w:hint="default"/>
          <w:highlight w:val="yellow"/>
          <w:lang w:val="en-US" w:eastAsia="zh-CN"/>
        </w:rPr>
      </w:pPr>
      <w:r>
        <w:rPr>
          <w:rFonts w:hint="eastAsia" w:ascii="宋体" w:hAnsi="宋体" w:eastAsia="宋体" w:cs="宋体"/>
          <w:b w:val="0"/>
          <w:bCs w:val="0"/>
          <w:i w:val="0"/>
          <w:caps w:val="0"/>
          <w:color w:val="auto"/>
          <w:spacing w:val="0"/>
          <w:sz w:val="21"/>
          <w:szCs w:val="21"/>
          <w:highlight w:val="yellow"/>
          <w:shd w:val="clear" w:fill="FFFFFF"/>
          <w:lang w:val="en-US" w:eastAsia="zh-CN"/>
        </w:rPr>
        <w:t>3.9消防工程设计需符合深圳市住建局或消防部门审查要求。</w:t>
      </w:r>
    </w:p>
    <w:p w14:paraId="6DBE7951">
      <w:pPr>
        <w:numPr>
          <w:ilvl w:val="0"/>
          <w:numId w:val="0"/>
        </w:numPr>
        <w:spacing w:line="360" w:lineRule="auto"/>
        <w:ind w:firstLine="422" w:firstLineChars="200"/>
        <w:outlineLvl w:val="1"/>
        <w:rPr>
          <w:rFonts w:hint="eastAsia" w:ascii="宋体" w:hAnsi="宋体" w:eastAsia="宋体" w:cs="宋体"/>
          <w:color w:val="auto"/>
          <w:sz w:val="21"/>
          <w:szCs w:val="21"/>
        </w:rPr>
      </w:pPr>
      <w:bookmarkStart w:id="5" w:name="_Toc15082"/>
      <w:r>
        <w:rPr>
          <w:rFonts w:hint="eastAsia" w:ascii="宋体" w:hAnsi="宋体" w:eastAsia="宋体" w:cs="宋体"/>
          <w:b/>
          <w:color w:val="auto"/>
          <w:kern w:val="0"/>
          <w:sz w:val="21"/>
          <w:szCs w:val="21"/>
          <w:lang w:val="en-US" w:eastAsia="zh-CN" w:bidi="ar"/>
        </w:rPr>
        <w:t>4.基础放线</w:t>
      </w:r>
      <w:bookmarkEnd w:id="5"/>
      <w:r>
        <w:rPr>
          <w:rFonts w:hint="eastAsia" w:ascii="宋体" w:hAnsi="宋体" w:eastAsia="宋体" w:cs="宋体"/>
          <w:b/>
          <w:color w:val="auto"/>
          <w:kern w:val="0"/>
          <w:sz w:val="21"/>
          <w:szCs w:val="21"/>
          <w:lang w:val="en-US" w:eastAsia="zh-CN" w:bidi="ar"/>
        </w:rPr>
        <w:t xml:space="preserve"> </w:t>
      </w:r>
    </w:p>
    <w:p w14:paraId="1269FB13">
      <w:pPr>
        <w:keepNext w:val="0"/>
        <w:keepLines w:val="0"/>
        <w:widowControl/>
        <w:suppressLineNumbers w:val="0"/>
        <w:spacing w:line="360" w:lineRule="auto"/>
        <w:ind w:firstLine="422" w:firstLineChars="200"/>
        <w:jc w:val="left"/>
        <w:rPr>
          <w:rFonts w:hint="default"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4.1.本案控制线说明</w:t>
      </w:r>
    </w:p>
    <w:p w14:paraId="36C5E45F">
      <w:pPr>
        <w:keepNext w:val="0"/>
        <w:keepLines w:val="0"/>
        <w:widowControl/>
        <w:suppressLineNumbers w:val="0"/>
        <w:spacing w:line="360" w:lineRule="auto"/>
        <w:ind w:firstLine="420" w:firstLineChars="200"/>
        <w:jc w:val="left"/>
        <w:rPr>
          <w:rFonts w:hint="default" w:ascii="宋体" w:hAnsi="宋体" w:eastAsia="宋体" w:cs="宋体"/>
          <w:b w:val="0"/>
          <w:bCs w:val="0"/>
          <w:color w:val="auto"/>
          <w:kern w:val="0"/>
          <w:sz w:val="21"/>
          <w:szCs w:val="21"/>
          <w:lang w:val="en-US" w:eastAsia="zh-CN" w:bidi="ar"/>
        </w:rPr>
      </w:pPr>
      <w:r>
        <w:rPr>
          <w:rFonts w:hint="eastAsia" w:ascii="宋体" w:hAnsi="宋体" w:eastAsia="宋体" w:cs="宋体"/>
          <w:b w:val="0"/>
          <w:bCs w:val="0"/>
          <w:color w:val="auto"/>
          <w:kern w:val="0"/>
          <w:sz w:val="21"/>
          <w:szCs w:val="21"/>
          <w:lang w:val="en-US" w:eastAsia="zh-CN" w:bidi="ar"/>
        </w:rPr>
        <w:t>本案各楼层过道的标高同时作为本案所有地面的施工标高及吊顶天花的标高实际控制线。找平高度约为120MM。</w:t>
      </w:r>
    </w:p>
    <w:p w14:paraId="7BF5F645">
      <w:pPr>
        <w:keepNext w:val="0"/>
        <w:keepLines w:val="0"/>
        <w:widowControl/>
        <w:suppressLineNumbers w:val="0"/>
        <w:spacing w:line="360" w:lineRule="auto"/>
        <w:ind w:firstLine="422" w:firstLineChars="200"/>
        <w:jc w:val="left"/>
        <w:rPr>
          <w:rFonts w:hint="eastAsia" w:ascii="宋体" w:hAnsi="宋体" w:eastAsia="宋体" w:cs="宋体"/>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4.2标记规则</w:t>
      </w:r>
    </w:p>
    <w:p w14:paraId="6AC92F81">
      <w:pPr>
        <w:keepNext w:val="0"/>
        <w:keepLines w:val="0"/>
        <w:widowControl/>
        <w:suppressLineNumbers w:val="0"/>
        <w:spacing w:line="36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工方进场前在每层标准层按现有规则及要求弹置 1 米标高线，然后检查楼地面平整度，预留给水管暗埋高度后定出地面装修完成标高，并用红色字标记在 1 米线上方。 </w:t>
      </w:r>
    </w:p>
    <w:p w14:paraId="3AEEB390">
      <w:pPr>
        <w:keepNext w:val="0"/>
        <w:keepLines w:val="0"/>
        <w:widowControl/>
        <w:suppressLineNumbers w:val="0"/>
        <w:spacing w:line="360" w:lineRule="auto"/>
        <w:ind w:firstLine="422" w:firstLineChars="200"/>
        <w:jc w:val="left"/>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4.3.细节要求</w:t>
      </w:r>
    </w:p>
    <w:p w14:paraId="63C4C0F3">
      <w:pPr>
        <w:keepNext w:val="0"/>
        <w:keepLines w:val="0"/>
        <w:widowControl/>
        <w:suppressLineNumbers w:val="0"/>
        <w:spacing w:line="360" w:lineRule="auto"/>
        <w:ind w:firstLine="420" w:firstLineChars="200"/>
        <w:jc w:val="left"/>
        <w:rPr>
          <w:rFonts w:hint="eastAsia" w:ascii="宋体" w:hAnsi="宋体" w:eastAsia="宋体" w:cs="宋体"/>
          <w:b/>
          <w:color w:val="auto"/>
          <w:kern w:val="0"/>
          <w:sz w:val="21"/>
          <w:szCs w:val="21"/>
          <w:lang w:val="en-US" w:eastAsia="zh-CN" w:bidi="ar"/>
        </w:rPr>
      </w:pPr>
      <w:r>
        <w:rPr>
          <w:rFonts w:hint="eastAsia" w:ascii="宋体" w:hAnsi="宋体" w:eastAsia="宋体" w:cs="宋体"/>
          <w:color w:val="auto"/>
          <w:kern w:val="0"/>
          <w:sz w:val="21"/>
          <w:szCs w:val="21"/>
          <w:lang w:val="en-US" w:eastAsia="zh-CN" w:bidi="ar"/>
        </w:rPr>
        <w:t>按装修完成标高复核该楼层的防火门洞、管井门洞、电井高度是否满足安装要求及规范高度，检查该楼层的砌体隔墙垂直度、平整度是否达到精装要求，并提交整改意见单予甲方交由相应单位整改。</w:t>
      </w:r>
    </w:p>
    <w:p w14:paraId="4D4A5B77">
      <w:pPr>
        <w:keepNext w:val="0"/>
        <w:keepLines w:val="0"/>
        <w:widowControl/>
        <w:suppressLineNumbers w:val="0"/>
        <w:spacing w:line="360" w:lineRule="auto"/>
        <w:jc w:val="center"/>
        <w:outlineLvl w:val="0"/>
        <w:rPr>
          <w:rFonts w:hint="eastAsia" w:ascii="宋体" w:hAnsi="宋体" w:eastAsia="宋体" w:cs="宋体"/>
          <w:color w:val="auto"/>
          <w:sz w:val="21"/>
          <w:szCs w:val="21"/>
        </w:rPr>
      </w:pPr>
      <w:bookmarkStart w:id="6" w:name="_Toc27158"/>
      <w:r>
        <w:rPr>
          <w:rFonts w:hint="eastAsia" w:ascii="宋体" w:hAnsi="宋体" w:eastAsia="宋体" w:cs="宋体"/>
          <w:b/>
          <w:color w:val="auto"/>
          <w:kern w:val="0"/>
          <w:sz w:val="21"/>
          <w:szCs w:val="21"/>
          <w:lang w:val="en-US" w:eastAsia="zh-CN" w:bidi="ar"/>
        </w:rPr>
        <w:t>第三章 施工技术标准和要求</w:t>
      </w:r>
      <w:bookmarkEnd w:id="6"/>
    </w:p>
    <w:p w14:paraId="32EA870E">
      <w:pPr>
        <w:pStyle w:val="3"/>
        <w:spacing w:line="360" w:lineRule="auto"/>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 </w:t>
      </w:r>
      <w:bookmarkStart w:id="7" w:name="_Toc17892"/>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、天花工程</w:t>
      </w:r>
      <w:bookmarkEnd w:id="7"/>
    </w:p>
    <w:p w14:paraId="0697EDCE">
      <w:pPr>
        <w:spacing w:line="360" w:lineRule="auto"/>
        <w:ind w:firstLine="48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吊顶金属板质量</w:t>
      </w:r>
      <w:r>
        <w:rPr>
          <w:rFonts w:hint="eastAsia" w:ascii="宋体" w:hAnsi="宋体" w:eastAsia="宋体" w:cs="宋体"/>
          <w:color w:val="auto"/>
          <w:sz w:val="21"/>
          <w:szCs w:val="21"/>
          <w:lang w:val="en-US" w:eastAsia="zh-CN"/>
        </w:rPr>
        <w:t>要求</w:t>
      </w:r>
    </w:p>
    <w:p w14:paraId="772BD9B8">
      <w:pPr>
        <w:spacing w:line="360" w:lineRule="auto"/>
        <w:ind w:firstLine="48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1.11</w:t>
      </w:r>
      <w:r>
        <w:rPr>
          <w:rFonts w:hint="eastAsia" w:ascii="宋体" w:hAnsi="宋体" w:eastAsia="宋体" w:cs="宋体"/>
          <w:color w:val="auto"/>
          <w:sz w:val="21"/>
          <w:szCs w:val="21"/>
        </w:rPr>
        <w:t>材料</w:t>
      </w:r>
      <w:r>
        <w:rPr>
          <w:rFonts w:hint="eastAsia" w:ascii="宋体" w:hAnsi="宋体" w:eastAsia="宋体" w:cs="宋体"/>
          <w:color w:val="auto"/>
          <w:sz w:val="21"/>
          <w:szCs w:val="21"/>
          <w:lang w:eastAsia="zh-CN"/>
        </w:rPr>
        <w:t>：</w:t>
      </w:r>
    </w:p>
    <w:p w14:paraId="6E59E16A">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金属板面层涂饰必须色泽一致，表面平整，几何尺寸误差在允许范围内。</w:t>
      </w:r>
    </w:p>
    <w:p w14:paraId="28DD85D1">
      <w:pPr>
        <w:spacing w:line="360" w:lineRule="auto"/>
        <w:ind w:firstLine="48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1.12</w:t>
      </w:r>
      <w:r>
        <w:rPr>
          <w:rFonts w:hint="eastAsia" w:ascii="宋体" w:hAnsi="宋体" w:eastAsia="宋体" w:cs="宋体"/>
          <w:color w:val="auto"/>
          <w:sz w:val="21"/>
          <w:szCs w:val="21"/>
        </w:rPr>
        <w:t>技术要求</w:t>
      </w:r>
      <w:r>
        <w:rPr>
          <w:rFonts w:hint="eastAsia" w:ascii="宋体" w:hAnsi="宋体" w:eastAsia="宋体" w:cs="宋体"/>
          <w:color w:val="auto"/>
          <w:sz w:val="21"/>
          <w:szCs w:val="21"/>
          <w:lang w:eastAsia="zh-CN"/>
        </w:rPr>
        <w:t>：</w:t>
      </w:r>
    </w:p>
    <w:p w14:paraId="6346BC4D">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弹线必须准确，经复验后方可进行下道工序。金属板加工尺寸必须准确，安装时拉通线。</w:t>
      </w:r>
    </w:p>
    <w:p w14:paraId="4666142A">
      <w:pPr>
        <w:spacing w:line="360" w:lineRule="auto"/>
        <w:ind w:firstLine="48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1.13工程</w:t>
      </w:r>
      <w:r>
        <w:rPr>
          <w:rFonts w:hint="eastAsia" w:ascii="宋体" w:hAnsi="宋体" w:eastAsia="宋体" w:cs="宋体"/>
          <w:color w:val="auto"/>
          <w:sz w:val="21"/>
          <w:szCs w:val="21"/>
        </w:rPr>
        <w:t>质量要求</w:t>
      </w:r>
      <w:r>
        <w:rPr>
          <w:rFonts w:hint="eastAsia" w:ascii="宋体" w:hAnsi="宋体" w:eastAsia="宋体" w:cs="宋体"/>
          <w:color w:val="auto"/>
          <w:sz w:val="21"/>
          <w:szCs w:val="21"/>
          <w:lang w:eastAsia="zh-CN"/>
        </w:rPr>
        <w:t>：</w:t>
      </w:r>
    </w:p>
    <w:p w14:paraId="2B7F490A">
      <w:pPr>
        <w:spacing w:line="360" w:lineRule="auto"/>
        <w:ind w:firstLine="630" w:firstLineChars="300"/>
        <w:rPr>
          <w:rFonts w:hint="eastAsia" w:ascii="宋体" w:hAnsi="宋体" w:eastAsia="宋体" w:cs="宋体"/>
          <w:color w:val="auto"/>
          <w:sz w:val="21"/>
          <w:szCs w:val="21"/>
        </w:rPr>
      </w:pPr>
      <w:r>
        <w:rPr>
          <w:rFonts w:hint="eastAsia" w:ascii="宋体" w:hAnsi="宋体" w:eastAsia="宋体" w:cs="宋体"/>
          <w:color w:val="auto"/>
          <w:sz w:val="21"/>
          <w:szCs w:val="21"/>
        </w:rPr>
        <w:t>吊顶龙骨必须牢固、平整：利用吊杆或吊筋螺栓调整拱度。安装龙骨时应严格按放线的水平标准线和规方线组装周边骨架。受力节点应装订严密、牢固、保证龙骨的整体钢度。龙骨的尺寸应符合设计要求，纵横拱度均匀，互相适应。吊顶龙骨严禁有硬弯，如有必须调直再进行固定。</w:t>
      </w:r>
    </w:p>
    <w:p w14:paraId="227DC64D">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吊顶面层必须平整：施工前应弹线，中间按平线起拱。长龙骨的接长应采用对接，相邻龙骨接头要错开，避免主龙骨向边倾斜。龙骨安装完毕，应经检查合格后再安装饰面板。吊件必须安装牢固，严禁松动变形。龙骨分格的几何尺寸必须符合设计要求和饰面板块的模数。饰面板的品种、规格符合设计要求，外观质量必须符合材料技术标准的规格。旋紧装饰板的螺丝时，避免板的两端紧中间松，表面出现凹形，板块调平规方后方可组装，不妥处应经调整再进行固定。边角处的固定点要准确，安装要严密。</w:t>
      </w:r>
    </w:p>
    <w:p w14:paraId="64375D7F">
      <w:pPr>
        <w:spacing w:line="360" w:lineRule="auto"/>
        <w:ind w:firstLine="480"/>
        <w:rPr>
          <w:rFonts w:hint="eastAsia" w:ascii="宋体" w:hAnsi="宋体" w:eastAsia="宋体" w:cs="宋体"/>
          <w:color w:val="auto"/>
          <w:sz w:val="21"/>
          <w:szCs w:val="21"/>
          <w:lang w:bidi="ar"/>
        </w:rPr>
      </w:pPr>
      <w:r>
        <w:rPr>
          <w:rFonts w:hint="eastAsia" w:ascii="宋体" w:hAnsi="宋体" w:eastAsia="宋体" w:cs="宋体"/>
          <w:color w:val="auto"/>
          <w:sz w:val="21"/>
          <w:szCs w:val="21"/>
        </w:rPr>
        <w:t>接缝应平整：板块装饰前应严格控制其角度和周边的规整性，尺寸要一致。安装时应拉通线找直，并按拼缝中心线，排放饰面板，排列必须保持整齐。安装时应沿中心线和边线进行，并保持接缝均匀一致。压条应沿装订线钉装，并应平顺光滑，线条整齐，接缝密合。</w:t>
      </w:r>
    </w:p>
    <w:p w14:paraId="7544A846">
      <w:pPr>
        <w:spacing w:line="360" w:lineRule="auto"/>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、墙面工程</w:t>
      </w:r>
    </w:p>
    <w:p w14:paraId="44D3E809">
      <w:pPr>
        <w:pStyle w:val="4"/>
        <w:spacing w:line="360" w:lineRule="auto"/>
        <w:ind w:firstLine="422"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1、涂料施工</w:t>
      </w:r>
      <w:r>
        <w:rPr>
          <w:rFonts w:hint="eastAsia" w:ascii="宋体" w:hAnsi="宋体" w:eastAsia="宋体" w:cs="宋体"/>
          <w:color w:val="auto"/>
          <w:sz w:val="21"/>
          <w:szCs w:val="21"/>
          <w:lang w:val="en-US" w:eastAsia="zh-CN"/>
        </w:rPr>
        <w:t>质量要求</w:t>
      </w:r>
    </w:p>
    <w:p w14:paraId="3625EB83">
      <w:pPr>
        <w:spacing w:line="360" w:lineRule="auto"/>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施工方案</w:t>
      </w:r>
      <w:r>
        <w:rPr>
          <w:rFonts w:hint="eastAsia" w:ascii="宋体" w:hAnsi="宋体" w:eastAsia="宋体" w:cs="宋体"/>
          <w:color w:val="auto"/>
          <w:sz w:val="21"/>
          <w:szCs w:val="21"/>
          <w:lang w:val="en-US" w:eastAsia="zh-CN"/>
        </w:rPr>
        <w:t>流程及要求</w:t>
      </w:r>
    </w:p>
    <w:p w14:paraId="42957485">
      <w:pPr>
        <w:spacing w:line="360" w:lineRule="auto"/>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mc:AlternateContent>
          <mc:Choice Requires="wpc">
            <w:drawing>
              <wp:inline distT="0" distB="0" distL="0" distR="0">
                <wp:extent cx="5916295" cy="1417320"/>
                <wp:effectExtent l="0" t="5080" r="27305" b="6350"/>
                <wp:docPr id="1595" name="画布 1345"/>
                <wp:cNvGraphicFramePr/>
                <a:graphic xmlns:a="http://schemas.openxmlformats.org/drawingml/2006/main">
                  <a:graphicData uri="http://schemas.microsoft.com/office/word/2010/wordprocessingCanvas">
                    <wpc:wpc>
                      <wpc:bg>
                        <a:noFill/>
                      </wpc:bg>
                      <wpc:whole/>
                      <wpg:wgp>
                        <wpg:cNvPr id="85" name="组合 36"/>
                        <wpg:cNvGrpSpPr/>
                        <wpg:grpSpPr>
                          <a:xfrm>
                            <a:off x="152318" y="0"/>
                            <a:ext cx="5553752" cy="1381802"/>
                            <a:chOff x="1523" y="0"/>
                            <a:chExt cx="54968" cy="13138"/>
                          </a:xfrm>
                        </wpg:grpSpPr>
                        <wps:wsp>
                          <wps:cNvPr id="86" name="AutoShape 198"/>
                          <wps:cNvSpPr>
                            <a:spLocks noChangeArrowheads="1"/>
                          </wps:cNvSpPr>
                          <wps:spPr bwMode="auto">
                            <a:xfrm>
                              <a:off x="1524" y="16"/>
                              <a:ext cx="9090" cy="3153"/>
                            </a:xfrm>
                            <a:prstGeom prst="roundRect">
                              <a:avLst>
                                <a:gd name="adj" fmla="val 16667"/>
                              </a:avLst>
                            </a:prstGeom>
                            <a:noFill/>
                            <a:ln w="9525" algn="ctr">
                              <a:solidFill>
                                <a:srgbClr val="000000"/>
                              </a:solidFill>
                              <a:round/>
                            </a:ln>
                            <a:effectLst/>
                          </wps:spPr>
                          <wps:txbx>
                            <w:txbxContent>
                              <w:p w14:paraId="4B8C5ED9">
                                <w:pPr>
                                  <w:pStyle w:val="19"/>
                                </w:pPr>
                                <w:r>
                                  <w:rPr>
                                    <w:rFonts w:hint="eastAsia"/>
                                  </w:rPr>
                                  <w:t>基层处理</w:t>
                                </w:r>
                              </w:p>
                            </w:txbxContent>
                          </wps:txbx>
                          <wps:bodyPr rot="0" vert="horz" wrap="square" lIns="91440" tIns="45720" rIns="91440" bIns="45720" anchor="t" anchorCtr="0" upright="1">
                            <a:noAutofit/>
                          </wps:bodyPr>
                        </wps:wsp>
                        <wps:wsp>
                          <wps:cNvPr id="89" name="AutoShape 199"/>
                          <wps:cNvSpPr>
                            <a:spLocks noChangeArrowheads="1"/>
                          </wps:cNvSpPr>
                          <wps:spPr bwMode="auto">
                            <a:xfrm>
                              <a:off x="11808" y="8"/>
                              <a:ext cx="17145" cy="3161"/>
                            </a:xfrm>
                            <a:prstGeom prst="roundRect">
                              <a:avLst>
                                <a:gd name="adj" fmla="val 16667"/>
                              </a:avLst>
                            </a:prstGeom>
                            <a:noFill/>
                            <a:ln w="9525">
                              <a:solidFill>
                                <a:srgbClr val="000000"/>
                              </a:solidFill>
                              <a:round/>
                            </a:ln>
                          </wps:spPr>
                          <wps:txbx>
                            <w:txbxContent>
                              <w:p w14:paraId="22D89663">
                                <w:pPr>
                                  <w:pStyle w:val="19"/>
                                  <w:jc w:val="left"/>
                                </w:pPr>
                                <w:r>
                                  <w:rPr>
                                    <w:rFonts w:hint="eastAsia"/>
                                  </w:rPr>
                                  <w:t>填补缝隙、局部刮腻子</w:t>
                                </w:r>
                              </w:p>
                            </w:txbxContent>
                          </wps:txbx>
                          <wps:bodyPr rot="0" vert="horz" wrap="square" lIns="91440" tIns="45720" rIns="91440" bIns="45720" anchor="t" anchorCtr="0" upright="1">
                            <a:noAutofit/>
                          </wps:bodyPr>
                        </wps:wsp>
                        <wps:wsp>
                          <wps:cNvPr id="94" name="AutoShape 200"/>
                          <wps:cNvSpPr>
                            <a:spLocks noChangeArrowheads="1"/>
                          </wps:cNvSpPr>
                          <wps:spPr bwMode="auto">
                            <a:xfrm>
                              <a:off x="30087" y="8"/>
                              <a:ext cx="6094" cy="3161"/>
                            </a:xfrm>
                            <a:prstGeom prst="roundRect">
                              <a:avLst>
                                <a:gd name="adj" fmla="val 16667"/>
                              </a:avLst>
                            </a:prstGeom>
                            <a:noFill/>
                            <a:ln w="9525">
                              <a:solidFill>
                                <a:srgbClr val="000000"/>
                              </a:solidFill>
                              <a:round/>
                            </a:ln>
                          </wps:spPr>
                          <wps:txbx>
                            <w:txbxContent>
                              <w:p w14:paraId="41F8A3AC">
                                <w:pPr>
                                  <w:pStyle w:val="19"/>
                                  <w:jc w:val="left"/>
                                </w:pPr>
                                <w:r>
                                  <w:rPr>
                                    <w:rFonts w:hint="eastAsia"/>
                                  </w:rPr>
                                  <w:t>磨平</w:t>
                                </w:r>
                              </w:p>
                            </w:txbxContent>
                          </wps:txbx>
                          <wps:bodyPr rot="0" vert="horz" wrap="square" lIns="91440" tIns="45720" rIns="91440" bIns="45720" anchor="t" anchorCtr="0" upright="1">
                            <a:noAutofit/>
                          </wps:bodyPr>
                        </wps:wsp>
                        <wps:wsp>
                          <wps:cNvPr id="95" name="AutoShape 201"/>
                          <wps:cNvSpPr>
                            <a:spLocks noChangeArrowheads="1"/>
                          </wps:cNvSpPr>
                          <wps:spPr bwMode="auto">
                            <a:xfrm>
                              <a:off x="37073" y="0"/>
                              <a:ext cx="12928" cy="3161"/>
                            </a:xfrm>
                            <a:prstGeom prst="roundRect">
                              <a:avLst>
                                <a:gd name="adj" fmla="val 16667"/>
                              </a:avLst>
                            </a:prstGeom>
                            <a:noFill/>
                            <a:ln w="9525">
                              <a:solidFill>
                                <a:srgbClr val="000000"/>
                              </a:solidFill>
                              <a:round/>
                            </a:ln>
                          </wps:spPr>
                          <wps:txbx>
                            <w:txbxContent>
                              <w:p w14:paraId="4ED2A1F4">
                                <w:pPr>
                                  <w:pStyle w:val="19"/>
                                  <w:jc w:val="left"/>
                                </w:pPr>
                                <w:r>
                                  <w:rPr>
                                    <w:rFonts w:hint="eastAsia"/>
                                  </w:rPr>
                                  <w:t>第一遍满刮腻子</w:t>
                                </w:r>
                              </w:p>
                            </w:txbxContent>
                          </wps:txbx>
                          <wps:bodyPr rot="0" vert="horz" wrap="square" lIns="91440" tIns="45720" rIns="91440" bIns="45720" anchor="t" anchorCtr="0" upright="1">
                            <a:noAutofit/>
                          </wps:bodyPr>
                        </wps:wsp>
                        <wps:wsp>
                          <wps:cNvPr id="98" name="AutoShape 202"/>
                          <wps:cNvSpPr>
                            <a:spLocks noChangeArrowheads="1"/>
                          </wps:cNvSpPr>
                          <wps:spPr bwMode="auto">
                            <a:xfrm>
                              <a:off x="51119" y="8"/>
                              <a:ext cx="5372" cy="3161"/>
                            </a:xfrm>
                            <a:prstGeom prst="roundRect">
                              <a:avLst>
                                <a:gd name="adj" fmla="val 16667"/>
                              </a:avLst>
                            </a:prstGeom>
                            <a:noFill/>
                            <a:ln w="9525">
                              <a:solidFill>
                                <a:srgbClr val="000000"/>
                              </a:solidFill>
                              <a:round/>
                            </a:ln>
                          </wps:spPr>
                          <wps:txbx>
                            <w:txbxContent>
                              <w:p w14:paraId="50B76928">
                                <w:pPr>
                                  <w:pStyle w:val="19"/>
                                  <w:jc w:val="left"/>
                                </w:pPr>
                                <w:r>
                                  <w:rPr>
                                    <w:rFonts w:hint="eastAsia"/>
                                  </w:rPr>
                                  <w:t>磨平</w:t>
                                </w:r>
                              </w:p>
                            </w:txbxContent>
                          </wps:txbx>
                          <wps:bodyPr rot="0" vert="horz" wrap="square" lIns="91440" tIns="45720" rIns="91440" bIns="45720" anchor="t" anchorCtr="0" upright="1">
                            <a:noAutofit/>
                          </wps:bodyPr>
                        </wps:wsp>
                        <wps:wsp>
                          <wps:cNvPr id="99" name="AutoShape 203"/>
                          <wps:cNvSpPr>
                            <a:spLocks noChangeArrowheads="1"/>
                          </wps:cNvSpPr>
                          <wps:spPr bwMode="auto">
                            <a:xfrm>
                              <a:off x="1523" y="5166"/>
                              <a:ext cx="13240" cy="3170"/>
                            </a:xfrm>
                            <a:prstGeom prst="roundRect">
                              <a:avLst>
                                <a:gd name="adj" fmla="val 16667"/>
                              </a:avLst>
                            </a:prstGeom>
                            <a:noFill/>
                            <a:ln w="9525">
                              <a:solidFill>
                                <a:srgbClr val="000000"/>
                              </a:solidFill>
                              <a:round/>
                            </a:ln>
                          </wps:spPr>
                          <wps:txbx>
                            <w:txbxContent>
                              <w:p w14:paraId="25A39EAA">
                                <w:pPr>
                                  <w:pStyle w:val="19"/>
                                  <w:jc w:val="left"/>
                                </w:pPr>
                                <w:r>
                                  <w:rPr>
                                    <w:rFonts w:hint="eastAsia"/>
                                  </w:rPr>
                                  <w:t>第二遍满刮腻子</w:t>
                                </w:r>
                              </w:p>
                            </w:txbxContent>
                          </wps:txbx>
                          <wps:bodyPr rot="0" vert="horz" wrap="square" lIns="91440" tIns="45720" rIns="91440" bIns="45720" anchor="t" anchorCtr="0" upright="1">
                            <a:noAutofit/>
                          </wps:bodyPr>
                        </wps:wsp>
                        <wps:wsp>
                          <wps:cNvPr id="102" name="AutoShape 204"/>
                          <wps:cNvSpPr>
                            <a:spLocks noChangeArrowheads="1"/>
                          </wps:cNvSpPr>
                          <wps:spPr bwMode="auto">
                            <a:xfrm>
                              <a:off x="15808" y="5192"/>
                              <a:ext cx="5776" cy="3161"/>
                            </a:xfrm>
                            <a:prstGeom prst="roundRect">
                              <a:avLst>
                                <a:gd name="adj" fmla="val 16667"/>
                              </a:avLst>
                            </a:prstGeom>
                            <a:noFill/>
                            <a:ln w="9525">
                              <a:solidFill>
                                <a:srgbClr val="000000"/>
                              </a:solidFill>
                              <a:round/>
                            </a:ln>
                          </wps:spPr>
                          <wps:txbx>
                            <w:txbxContent>
                              <w:p w14:paraId="3557EF7E">
                                <w:pPr>
                                  <w:pStyle w:val="19"/>
                                  <w:jc w:val="left"/>
                                </w:pPr>
                                <w:r>
                                  <w:rPr>
                                    <w:rFonts w:hint="eastAsia"/>
                                  </w:rPr>
                                  <w:t>磨平</w:t>
                                </w:r>
                              </w:p>
                            </w:txbxContent>
                          </wps:txbx>
                          <wps:bodyPr rot="0" vert="horz" wrap="square" lIns="91440" tIns="45720" rIns="91440" bIns="45720" anchor="t" anchorCtr="0" upright="1">
                            <a:noAutofit/>
                          </wps:bodyPr>
                        </wps:wsp>
                        <wps:wsp>
                          <wps:cNvPr id="107" name="AutoShape 205"/>
                          <wps:cNvSpPr>
                            <a:spLocks noChangeArrowheads="1"/>
                          </wps:cNvSpPr>
                          <wps:spPr bwMode="auto">
                            <a:xfrm>
                              <a:off x="22681" y="5270"/>
                              <a:ext cx="12942" cy="3161"/>
                            </a:xfrm>
                            <a:prstGeom prst="roundRect">
                              <a:avLst>
                                <a:gd name="adj" fmla="val 16667"/>
                              </a:avLst>
                            </a:prstGeom>
                            <a:noFill/>
                            <a:ln w="9525">
                              <a:solidFill>
                                <a:srgbClr val="000000"/>
                              </a:solidFill>
                              <a:round/>
                            </a:ln>
                          </wps:spPr>
                          <wps:txbx>
                            <w:txbxContent>
                              <w:p w14:paraId="457332E2">
                                <w:pPr>
                                  <w:pStyle w:val="19"/>
                                  <w:jc w:val="left"/>
                                </w:pPr>
                                <w:r>
                                  <w:rPr>
                                    <w:rFonts w:hint="eastAsia"/>
                                  </w:rPr>
                                  <w:t>第三遍满刮腻子</w:t>
                                </w:r>
                              </w:p>
                            </w:txbxContent>
                          </wps:txbx>
                          <wps:bodyPr rot="0" vert="horz" wrap="square" lIns="91440" tIns="45720" rIns="91440" bIns="45720" anchor="t" anchorCtr="0" upright="1">
                            <a:noAutofit/>
                          </wps:bodyPr>
                        </wps:wsp>
                        <wps:wsp>
                          <wps:cNvPr id="108" name="AutoShape 206"/>
                          <wps:cNvSpPr>
                            <a:spLocks noChangeArrowheads="1"/>
                          </wps:cNvSpPr>
                          <wps:spPr bwMode="auto">
                            <a:xfrm>
                              <a:off x="36653" y="5175"/>
                              <a:ext cx="6681" cy="3161"/>
                            </a:xfrm>
                            <a:prstGeom prst="roundRect">
                              <a:avLst>
                                <a:gd name="adj" fmla="val 16667"/>
                              </a:avLst>
                            </a:prstGeom>
                            <a:noFill/>
                            <a:ln w="9525">
                              <a:solidFill>
                                <a:srgbClr val="000000"/>
                              </a:solidFill>
                              <a:round/>
                            </a:ln>
                          </wps:spPr>
                          <wps:txbx>
                            <w:txbxContent>
                              <w:p w14:paraId="617553F1">
                                <w:pPr>
                                  <w:pStyle w:val="19"/>
                                  <w:jc w:val="left"/>
                                </w:pPr>
                                <w:r>
                                  <w:rPr>
                                    <w:rFonts w:hint="eastAsia"/>
                                  </w:rPr>
                                  <w:t>打底漆</w:t>
                                </w:r>
                              </w:p>
                            </w:txbxContent>
                          </wps:txbx>
                          <wps:bodyPr rot="0" vert="horz" wrap="square" lIns="91440" tIns="45720" rIns="91440" bIns="45720" anchor="t" anchorCtr="0" upright="1">
                            <a:noAutofit/>
                          </wps:bodyPr>
                        </wps:wsp>
                        <wps:wsp>
                          <wps:cNvPr id="109" name="AutoShape 207"/>
                          <wps:cNvSpPr>
                            <a:spLocks noChangeArrowheads="1"/>
                          </wps:cNvSpPr>
                          <wps:spPr bwMode="auto">
                            <a:xfrm>
                              <a:off x="43979" y="5183"/>
                              <a:ext cx="9742" cy="3162"/>
                            </a:xfrm>
                            <a:prstGeom prst="roundRect">
                              <a:avLst>
                                <a:gd name="adj" fmla="val 16667"/>
                              </a:avLst>
                            </a:prstGeom>
                            <a:noFill/>
                            <a:ln w="9525">
                              <a:solidFill>
                                <a:srgbClr val="000000"/>
                              </a:solidFill>
                              <a:round/>
                            </a:ln>
                          </wps:spPr>
                          <wps:txbx>
                            <w:txbxContent>
                              <w:p w14:paraId="36DC5074">
                                <w:pPr>
                                  <w:pStyle w:val="19"/>
                                  <w:jc w:val="left"/>
                                </w:pPr>
                                <w:r>
                                  <w:rPr>
                                    <w:rFonts w:hint="eastAsia"/>
                                  </w:rPr>
                                  <w:t>第一道涂层</w:t>
                                </w:r>
                              </w:p>
                            </w:txbxContent>
                          </wps:txbx>
                          <wps:bodyPr rot="0" vert="horz" wrap="square" lIns="91440" tIns="45720" rIns="91440" bIns="45720" anchor="t" anchorCtr="0" upright="1">
                            <a:noAutofit/>
                          </wps:bodyPr>
                        </wps:wsp>
                        <wps:wsp>
                          <wps:cNvPr id="110" name="AutoShape 209"/>
                          <wps:cNvSpPr>
                            <a:spLocks noChangeArrowheads="1"/>
                          </wps:cNvSpPr>
                          <wps:spPr bwMode="auto">
                            <a:xfrm>
                              <a:off x="3705" y="9976"/>
                              <a:ext cx="8677" cy="3162"/>
                            </a:xfrm>
                            <a:prstGeom prst="roundRect">
                              <a:avLst>
                                <a:gd name="adj" fmla="val 16667"/>
                              </a:avLst>
                            </a:prstGeom>
                            <a:noFill/>
                            <a:ln w="9525">
                              <a:solidFill>
                                <a:srgbClr val="000000"/>
                              </a:solidFill>
                              <a:round/>
                            </a:ln>
                          </wps:spPr>
                          <wps:txbx>
                            <w:txbxContent>
                              <w:p w14:paraId="28E210EA">
                                <w:pPr>
                                  <w:pStyle w:val="19"/>
                                  <w:jc w:val="left"/>
                                </w:pPr>
                                <w:r>
                                  <w:rPr>
                                    <w:rFonts w:hint="eastAsia"/>
                                  </w:rPr>
                                  <w:t>复补腻子</w:t>
                                </w:r>
                              </w:p>
                              <w:p w14:paraId="6E500840">
                                <w:pPr>
                                  <w:pStyle w:val="19"/>
                                  <w:jc w:val="left"/>
                                </w:pPr>
                              </w:p>
                            </w:txbxContent>
                          </wps:txbx>
                          <wps:bodyPr rot="0" vert="horz" wrap="square" lIns="91440" tIns="45720" rIns="91440" bIns="45720" anchor="t" anchorCtr="0" upright="1">
                            <a:noAutofit/>
                          </wps:bodyPr>
                        </wps:wsp>
                        <wps:wsp>
                          <wps:cNvPr id="111" name="AutoShape 210"/>
                          <wps:cNvSpPr>
                            <a:spLocks noChangeArrowheads="1"/>
                          </wps:cNvSpPr>
                          <wps:spPr bwMode="auto">
                            <a:xfrm>
                              <a:off x="14759" y="9976"/>
                              <a:ext cx="10572" cy="3162"/>
                            </a:xfrm>
                            <a:prstGeom prst="roundRect">
                              <a:avLst>
                                <a:gd name="adj" fmla="val 16667"/>
                              </a:avLst>
                            </a:prstGeom>
                            <a:noFill/>
                            <a:ln w="9525">
                              <a:solidFill>
                                <a:srgbClr val="000000"/>
                              </a:solidFill>
                              <a:round/>
                            </a:ln>
                          </wps:spPr>
                          <wps:txbx>
                            <w:txbxContent>
                              <w:p w14:paraId="032248CB">
                                <w:pPr>
                                  <w:pStyle w:val="19"/>
                                </w:pPr>
                                <w:r>
                                  <w:rPr>
                                    <w:rFonts w:hint="eastAsia"/>
                                  </w:rPr>
                                  <w:t>磨平</w:t>
                                </w:r>
                              </w:p>
                              <w:p w14:paraId="06613CB9">
                                <w:pPr>
                                  <w:pStyle w:val="19"/>
                                </w:pPr>
                              </w:p>
                            </w:txbxContent>
                          </wps:txbx>
                          <wps:bodyPr rot="0" vert="horz" wrap="square" lIns="91440" tIns="45720" rIns="91440" bIns="45720" anchor="t" anchorCtr="0" upright="1">
                            <a:noAutofit/>
                          </wps:bodyPr>
                        </wps:wsp>
                        <wps:wsp>
                          <wps:cNvPr id="113" name="AutoShape 211"/>
                          <wps:cNvSpPr>
                            <a:spLocks noChangeArrowheads="1"/>
                          </wps:cNvSpPr>
                          <wps:spPr bwMode="auto">
                            <a:xfrm>
                              <a:off x="28947" y="9976"/>
                              <a:ext cx="10105" cy="3162"/>
                            </a:xfrm>
                            <a:prstGeom prst="roundRect">
                              <a:avLst>
                                <a:gd name="adj" fmla="val 16667"/>
                              </a:avLst>
                            </a:prstGeom>
                            <a:noFill/>
                            <a:ln w="9525">
                              <a:solidFill>
                                <a:srgbClr val="000000"/>
                              </a:solidFill>
                              <a:round/>
                            </a:ln>
                          </wps:spPr>
                          <wps:txbx>
                            <w:txbxContent>
                              <w:p w14:paraId="2F6E9719">
                                <w:pPr>
                                  <w:pStyle w:val="19"/>
                                  <w:jc w:val="left"/>
                                </w:pPr>
                                <w:r>
                                  <w:rPr>
                                    <w:rFonts w:hint="eastAsia"/>
                                  </w:rPr>
                                  <w:t>第二道涂层</w:t>
                                </w:r>
                              </w:p>
                              <w:p w14:paraId="0CAF1387">
                                <w:pPr>
                                  <w:pStyle w:val="19"/>
                                  <w:jc w:val="left"/>
                                </w:pPr>
                              </w:p>
                            </w:txbxContent>
                          </wps:txbx>
                          <wps:bodyPr rot="0" vert="horz" wrap="square" lIns="91440" tIns="45720" rIns="91440" bIns="45720" anchor="t" anchorCtr="0" upright="1">
                            <a:noAutofit/>
                          </wps:bodyPr>
                        </wps:wsp>
                        <wps:wsp>
                          <wps:cNvPr id="114" name="AutoShape 212"/>
                          <wps:cNvCnPr>
                            <a:cxnSpLocks noChangeShapeType="1"/>
                          </wps:cNvCnPr>
                          <wps:spPr bwMode="auto">
                            <a:xfrm flipV="1">
                              <a:off x="10614" y="1580"/>
                              <a:ext cx="1197" cy="13"/>
                            </a:xfrm>
                            <a:prstGeom prst="straightConnector1">
                              <a:avLst/>
                            </a:prstGeom>
                            <a:noFill/>
                            <a:ln w="9525">
                              <a:solidFill>
                                <a:srgbClr val="000000"/>
                              </a:solidFill>
                              <a:round/>
                              <a:tailEnd type="triangle" w="med" len="med"/>
                            </a:ln>
                          </wps:spPr>
                          <wps:bodyPr/>
                        </wps:wsp>
                        <wps:wsp>
                          <wps:cNvPr id="115" name="AutoShape 213"/>
                          <wps:cNvCnPr>
                            <a:cxnSpLocks noChangeShapeType="1"/>
                          </wps:cNvCnPr>
                          <wps:spPr bwMode="auto">
                            <a:xfrm flipV="1">
                              <a:off x="28953" y="1589"/>
                              <a:ext cx="1134" cy="4"/>
                            </a:xfrm>
                            <a:prstGeom prst="straightConnector1">
                              <a:avLst/>
                            </a:prstGeom>
                            <a:noFill/>
                            <a:ln w="9525">
                              <a:solidFill>
                                <a:srgbClr val="000000"/>
                              </a:solidFill>
                              <a:round/>
                              <a:tailEnd type="triangle" w="med" len="med"/>
                            </a:ln>
                          </wps:spPr>
                          <wps:bodyPr/>
                        </wps:wsp>
                        <wps:wsp>
                          <wps:cNvPr id="122" name="AutoShape 214"/>
                          <wps:cNvCnPr>
                            <a:cxnSpLocks noChangeShapeType="1"/>
                          </wps:cNvCnPr>
                          <wps:spPr bwMode="auto">
                            <a:xfrm>
                              <a:off x="36177" y="1580"/>
                              <a:ext cx="896" cy="0"/>
                            </a:xfrm>
                            <a:prstGeom prst="straightConnector1">
                              <a:avLst/>
                            </a:prstGeom>
                            <a:noFill/>
                            <a:ln w="9525">
                              <a:solidFill>
                                <a:srgbClr val="000000"/>
                              </a:solidFill>
                              <a:round/>
                              <a:tailEnd type="triangle" w="med" len="med"/>
                            </a:ln>
                          </wps:spPr>
                          <wps:bodyPr/>
                        </wps:wsp>
                        <wps:wsp>
                          <wps:cNvPr id="128" name="AutoShape 215"/>
                          <wps:cNvCnPr>
                            <a:cxnSpLocks noChangeShapeType="1"/>
                          </wps:cNvCnPr>
                          <wps:spPr bwMode="auto">
                            <a:xfrm>
                              <a:off x="50006" y="1580"/>
                              <a:ext cx="1113" cy="9"/>
                            </a:xfrm>
                            <a:prstGeom prst="straightConnector1">
                              <a:avLst/>
                            </a:prstGeom>
                            <a:noFill/>
                            <a:ln w="9525">
                              <a:solidFill>
                                <a:srgbClr val="000000"/>
                              </a:solidFill>
                              <a:round/>
                              <a:tailEnd type="triangle" w="med" len="med"/>
                            </a:ln>
                          </wps:spPr>
                          <wps:bodyPr/>
                        </wps:wsp>
                        <wps:wsp>
                          <wps:cNvPr id="129" name="AutoShape 216"/>
                          <wps:cNvCnPr>
                            <a:cxnSpLocks noChangeShapeType="1"/>
                          </wps:cNvCnPr>
                          <wps:spPr bwMode="auto">
                            <a:xfrm flipH="1">
                              <a:off x="1523" y="1589"/>
                              <a:ext cx="54968" cy="5162"/>
                            </a:xfrm>
                            <a:prstGeom prst="bentConnector5">
                              <a:avLst>
                                <a:gd name="adj1" fmla="val -4157"/>
                                <a:gd name="adj2" fmla="val 49958"/>
                                <a:gd name="adj3" fmla="val 101560"/>
                              </a:avLst>
                            </a:prstGeom>
                            <a:noFill/>
                            <a:ln w="9525">
                              <a:solidFill>
                                <a:srgbClr val="000000"/>
                              </a:solidFill>
                              <a:miter lim="800000"/>
                              <a:tailEnd type="triangle" w="med" len="med"/>
                            </a:ln>
                          </wps:spPr>
                          <wps:bodyPr/>
                        </wps:wsp>
                        <wps:wsp>
                          <wps:cNvPr id="130" name="AutoShape 217"/>
                          <wps:cNvCnPr>
                            <a:cxnSpLocks noChangeShapeType="1"/>
                          </wps:cNvCnPr>
                          <wps:spPr bwMode="auto">
                            <a:xfrm>
                              <a:off x="14763" y="6751"/>
                              <a:ext cx="1143" cy="13"/>
                            </a:xfrm>
                            <a:prstGeom prst="straightConnector1">
                              <a:avLst/>
                            </a:prstGeom>
                            <a:noFill/>
                            <a:ln w="9525">
                              <a:solidFill>
                                <a:srgbClr val="000000"/>
                              </a:solidFill>
                              <a:round/>
                              <a:tailEnd type="triangle" w="med" len="med"/>
                            </a:ln>
                          </wps:spPr>
                          <wps:bodyPr/>
                        </wps:wsp>
                        <wps:wsp>
                          <wps:cNvPr id="131" name="AutoShape 218"/>
                          <wps:cNvCnPr>
                            <a:cxnSpLocks noChangeShapeType="1"/>
                          </wps:cNvCnPr>
                          <wps:spPr bwMode="auto">
                            <a:xfrm flipV="1">
                              <a:off x="21679" y="6764"/>
                              <a:ext cx="895" cy="0"/>
                            </a:xfrm>
                            <a:prstGeom prst="straightConnector1">
                              <a:avLst/>
                            </a:prstGeom>
                            <a:noFill/>
                            <a:ln w="9525">
                              <a:solidFill>
                                <a:srgbClr val="000000"/>
                              </a:solidFill>
                              <a:round/>
                              <a:tailEnd type="triangle" w="med" len="med"/>
                            </a:ln>
                          </wps:spPr>
                          <wps:bodyPr/>
                        </wps:wsp>
                        <wps:wsp>
                          <wps:cNvPr id="145" name="AutoShape 219"/>
                          <wps:cNvCnPr>
                            <a:cxnSpLocks noChangeShapeType="1"/>
                          </wps:cNvCnPr>
                          <wps:spPr bwMode="auto">
                            <a:xfrm flipV="1">
                              <a:off x="35337" y="6851"/>
                              <a:ext cx="1320" cy="8"/>
                            </a:xfrm>
                            <a:prstGeom prst="straightConnector1">
                              <a:avLst/>
                            </a:prstGeom>
                            <a:noFill/>
                            <a:ln w="9525">
                              <a:solidFill>
                                <a:srgbClr val="000000"/>
                              </a:solidFill>
                              <a:round/>
                              <a:tailEnd type="triangle" w="med" len="med"/>
                            </a:ln>
                          </wps:spPr>
                          <wps:bodyPr/>
                        </wps:wsp>
                        <wps:wsp>
                          <wps:cNvPr id="146" name="AutoShape 220"/>
                          <wps:cNvCnPr>
                            <a:cxnSpLocks noChangeShapeType="1"/>
                          </wps:cNvCnPr>
                          <wps:spPr bwMode="auto">
                            <a:xfrm>
                              <a:off x="43334" y="6756"/>
                              <a:ext cx="645" cy="8"/>
                            </a:xfrm>
                            <a:prstGeom prst="straightConnector1">
                              <a:avLst/>
                            </a:prstGeom>
                            <a:noFill/>
                            <a:ln w="9525">
                              <a:solidFill>
                                <a:srgbClr val="000000"/>
                              </a:solidFill>
                              <a:round/>
                              <a:tailEnd type="triangle" w="med" len="med"/>
                            </a:ln>
                          </wps:spPr>
                          <wps:bodyPr/>
                        </wps:wsp>
                        <wps:wsp>
                          <wps:cNvPr id="147" name="AutoShape 222"/>
                          <wps:cNvCnPr>
                            <a:cxnSpLocks noChangeShapeType="1"/>
                          </wps:cNvCnPr>
                          <wps:spPr bwMode="auto">
                            <a:xfrm flipH="1">
                              <a:off x="3705" y="6764"/>
                              <a:ext cx="50016" cy="4793"/>
                            </a:xfrm>
                            <a:prstGeom prst="bentConnector5">
                              <a:avLst>
                                <a:gd name="adj1" fmla="val -4569"/>
                                <a:gd name="adj2" fmla="val 50000"/>
                                <a:gd name="adj3" fmla="val 104569"/>
                              </a:avLst>
                            </a:prstGeom>
                            <a:noFill/>
                            <a:ln w="9525">
                              <a:solidFill>
                                <a:srgbClr val="000000"/>
                              </a:solidFill>
                              <a:miter lim="800000"/>
                              <a:tailEnd type="triangle" w="med" len="med"/>
                            </a:ln>
                          </wps:spPr>
                          <wps:bodyPr/>
                        </wps:wsp>
                        <wps:wsp>
                          <wps:cNvPr id="148" name="AutoShape 223"/>
                          <wps:cNvCnPr>
                            <a:cxnSpLocks noChangeShapeType="1"/>
                          </wps:cNvCnPr>
                          <wps:spPr bwMode="auto">
                            <a:xfrm>
                              <a:off x="12382" y="11557"/>
                              <a:ext cx="2377" cy="0"/>
                            </a:xfrm>
                            <a:prstGeom prst="straightConnector1">
                              <a:avLst/>
                            </a:prstGeom>
                            <a:noFill/>
                            <a:ln w="9525">
                              <a:solidFill>
                                <a:srgbClr val="000000"/>
                              </a:solidFill>
                              <a:round/>
                              <a:tailEnd type="triangle" w="med" len="med"/>
                            </a:ln>
                          </wps:spPr>
                          <wps:bodyPr/>
                        </wps:wsp>
                        <wps:wsp>
                          <wps:cNvPr id="149" name="AutoShape 224"/>
                          <wps:cNvCnPr>
                            <a:cxnSpLocks noChangeShapeType="1"/>
                          </wps:cNvCnPr>
                          <wps:spPr bwMode="auto">
                            <a:xfrm>
                              <a:off x="25331" y="11557"/>
                              <a:ext cx="3616" cy="0"/>
                            </a:xfrm>
                            <a:prstGeom prst="straightConnector1">
                              <a:avLst/>
                            </a:prstGeom>
                            <a:noFill/>
                            <a:ln w="9525">
                              <a:solidFill>
                                <a:srgbClr val="000000"/>
                              </a:solidFill>
                              <a:round/>
                              <a:tailEnd type="triangle" w="med" len="med"/>
                            </a:ln>
                          </wps:spPr>
                          <wps:bodyPr/>
                        </wps:wsp>
                        <wps:wsp>
                          <wps:cNvPr id="151" name="AutoShape 224"/>
                          <wps:cNvCnPr>
                            <a:cxnSpLocks noChangeShapeType="1"/>
                          </wps:cNvCnPr>
                          <wps:spPr bwMode="auto">
                            <a:xfrm>
                              <a:off x="39052" y="11557"/>
                              <a:ext cx="1607" cy="0"/>
                            </a:xfrm>
                            <a:prstGeom prst="straightConnector1">
                              <a:avLst/>
                            </a:prstGeom>
                            <a:noFill/>
                            <a:ln w="9525">
                              <a:solidFill>
                                <a:srgbClr val="000000"/>
                              </a:solidFill>
                              <a:round/>
                              <a:tailEnd type="triangle" w="med" len="med"/>
                            </a:ln>
                          </wps:spPr>
                          <wps:bodyPr/>
                        </wps:wsp>
                        <wps:wsp>
                          <wps:cNvPr id="152" name="AutoShape 208"/>
                          <wps:cNvSpPr>
                            <a:spLocks noChangeArrowheads="1"/>
                          </wps:cNvSpPr>
                          <wps:spPr bwMode="auto">
                            <a:xfrm>
                              <a:off x="40667" y="9988"/>
                              <a:ext cx="13816" cy="3150"/>
                            </a:xfrm>
                            <a:prstGeom prst="roundRect">
                              <a:avLst>
                                <a:gd name="adj" fmla="val 16667"/>
                              </a:avLst>
                            </a:prstGeom>
                            <a:noFill/>
                            <a:ln w="9525">
                              <a:solidFill>
                                <a:srgbClr val="000000"/>
                              </a:solidFill>
                              <a:round/>
                            </a:ln>
                          </wps:spPr>
                          <wps:txbx>
                            <w:txbxContent>
                              <w:p w14:paraId="3639A13B">
                                <w:pPr>
                                  <w:pStyle w:val="19"/>
                                </w:pPr>
                                <w:r>
                                  <w:rPr>
                                    <w:rFonts w:hint="eastAsia"/>
                                  </w:rPr>
                                  <w:t>第三道涂层</w:t>
                                </w:r>
                              </w:p>
                              <w:p w14:paraId="6614BA15">
                                <w:pPr>
                                  <w:pStyle w:val="19"/>
                                </w:pPr>
                              </w:p>
                            </w:txbxContent>
                          </wps:txbx>
                          <wps:bodyPr rot="0" vert="horz" wrap="square" lIns="91440" tIns="45720" rIns="91440" bIns="45720" anchor="t" anchorCtr="0" upright="1">
                            <a:noAutofit/>
                          </wps:bodyPr>
                        </wps:wsp>
                      </wpg:wgp>
                    </wpc:wpc>
                  </a:graphicData>
                </a:graphic>
              </wp:inline>
            </w:drawing>
          </mc:Choice>
          <mc:Fallback>
            <w:pict>
              <v:group id="画布 1345" o:spid="_x0000_s1026" o:spt="203" style="height:111.6pt;width:465.85pt;" coordsize="5916295,1417320" editas="canvas" o:gfxdata="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">
                <o:lock v:ext="edit" aspectratio="f"/>
                <v:shape id="画布 1345" o:spid="_x0000_s1026" style="position:absolute;left:0;top:0;height:1417320;width:5916295;" filled="f" stroked="f" coordsize="21600,21600" o:gfxdata="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">
                  <v:fill on="f" focussize="0,0"/>
                  <v:stroke on="f"/>
                  <v:imagedata o:title=""/>
                  <o:lock v:ext="edit" aspectratio="f"/>
                </v:shape>
                <v:group id="组合 36" o:spid="_x0000_s1026" o:spt="203" style="position:absolute;left:152318;top:0;height:1381802;width:5553752;" coordorigin="1523,0" coordsize="54968,13138" o:gfxdata="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">
                  <o:lock v:ext="edit" aspectratio="f"/>
                  <v:roundrect id="AutoShape 198" o:spid="_x0000_s1026" o:spt="2" style="position:absolute;left:1524;top:16;height:3153;width:9090;" filled="f" stroked="t" coordsize="21600,21600" arcsize="0.166666666666667" o:gfxdata="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N10c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14:paraId="4B8C5ED9">
                          <w:pPr>
                            <w:pStyle w:val="19"/>
                          </w:pPr>
                          <w:r>
                            <w:rPr>
                              <w:rFonts w:hint="eastAsia"/>
                            </w:rPr>
                            <w:t>基层处理</w:t>
                          </w:r>
                        </w:p>
                      </w:txbxContent>
                    </v:textbox>
                  </v:roundrect>
                  <v:roundrect id="AutoShape 199" o:spid="_x0000_s1026" o:spt="2" style="position:absolute;left:11808;top:8;height:3161;width:17145;" filled="f" stroked="t" coordsize="21600,21600" arcsize="0.166666666666667" o:gfxdata="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upFu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14:paraId="22D89663">
                          <w:pPr>
                            <w:pStyle w:val="19"/>
                            <w:jc w:val="left"/>
                          </w:pPr>
                          <w:r>
                            <w:rPr>
                              <w:rFonts w:hint="eastAsia"/>
                            </w:rPr>
                            <w:t>填补缝隙、局部刮腻子</w:t>
                          </w:r>
                        </w:p>
                      </w:txbxContent>
                    </v:textbox>
                  </v:roundrect>
                  <v:roundrect id="AutoShape 200" o:spid="_x0000_s1026" o:spt="2" style="position:absolute;left:30087;top:8;height:3161;width:6094;" filled="f" stroked="t" coordsize="21600,21600" arcsize="0.166666666666667" o:gfxdata="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TJ8+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14:paraId="41F8A3AC">
                          <w:pPr>
                            <w:pStyle w:val="19"/>
                            <w:jc w:val="left"/>
                          </w:pPr>
                          <w:r>
                            <w:rPr>
                              <w:rFonts w:hint="eastAsia"/>
                            </w:rPr>
                            <w:t>磨平</w:t>
                          </w:r>
                        </w:p>
                      </w:txbxContent>
                    </v:textbox>
                  </v:roundrect>
                  <v:roundrect id="AutoShape 201" o:spid="_x0000_s1026" o:spt="2" style="position:absolute;left:37073;top:0;height:3161;width:12928;" filled="f" stroked="t" coordsize="21600,21600" arcsize="0.166666666666667" o:gfxdata="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ftl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textbox>
                      <w:txbxContent>
                        <w:p w14:paraId="4ED2A1F4">
                          <w:pPr>
                            <w:pStyle w:val="19"/>
                            <w:jc w:val="left"/>
                          </w:pPr>
                          <w:r>
                            <w:rPr>
                              <w:rFonts w:hint="eastAsia"/>
                            </w:rPr>
                            <w:t>第一遍满刮腻子</w:t>
                          </w:r>
                        </w:p>
                      </w:txbxContent>
                    </v:textbox>
                  </v:roundrect>
                  <v:roundrect id="AutoShape 202" o:spid="_x0000_s1026" o:spt="2" style="position:absolute;left:51119;top:8;height:3161;width:5372;" filled="f" stroked="t" coordsize="21600,21600" arcsize="0.166666666666667" o:gfxdata="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f3b/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textbox>
                      <w:txbxContent>
                        <w:p w14:paraId="50B76928">
                          <w:pPr>
                            <w:pStyle w:val="19"/>
                            <w:jc w:val="left"/>
                          </w:pPr>
                          <w:r>
                            <w:rPr>
                              <w:rFonts w:hint="eastAsia"/>
                            </w:rPr>
                            <w:t>磨平</w:t>
                          </w:r>
                        </w:p>
                      </w:txbxContent>
                    </v:textbox>
                  </v:roundrect>
                  <v:roundrect id="AutoShape 203" o:spid="_x0000_s1026" o:spt="2" style="position:absolute;left:1523;top:5166;height:3170;width:13240;" filled="f" stroked="t" coordsize="21600,21600" arcsize="0.166666666666667" o:gfxdata="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zPTZ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14:paraId="25A39EAA">
                          <w:pPr>
                            <w:pStyle w:val="19"/>
                            <w:jc w:val="left"/>
                          </w:pPr>
                          <w:r>
                            <w:rPr>
                              <w:rFonts w:hint="eastAsia"/>
                            </w:rPr>
                            <w:t>第二遍满刮腻子</w:t>
                          </w:r>
                        </w:p>
                      </w:txbxContent>
                    </v:textbox>
                  </v:roundrect>
                  <v:roundrect id="AutoShape 204" o:spid="_x0000_s1026" o:spt="2" style="position:absolute;left:15808;top:5192;height:3161;width:5776;" filled="f" stroked="t" coordsize="21600,21600" arcsize="0.166666666666667" o:gfxdata="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UzES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14:paraId="3557EF7E">
                          <w:pPr>
                            <w:pStyle w:val="19"/>
                            <w:jc w:val="left"/>
                          </w:pPr>
                          <w:r>
                            <w:rPr>
                              <w:rFonts w:hint="eastAsia"/>
                            </w:rPr>
                            <w:t>磨平</w:t>
                          </w:r>
                        </w:p>
                      </w:txbxContent>
                    </v:textbox>
                  </v:roundrect>
                  <v:roundrect id="AutoShape 205" o:spid="_x0000_s1026" o:spt="2" style="position:absolute;left:22681;top:5270;height:3161;width:12942;" filled="f" stroked="t" coordsize="21600,21600" arcsize="0.166666666666667" o:gfxdata="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jb9y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14:paraId="457332E2">
                          <w:pPr>
                            <w:pStyle w:val="19"/>
                            <w:jc w:val="left"/>
                          </w:pPr>
                          <w:r>
                            <w:rPr>
                              <w:rFonts w:hint="eastAsia"/>
                            </w:rPr>
                            <w:t>第三遍满刮腻子</w:t>
                          </w:r>
                        </w:p>
                      </w:txbxContent>
                    </v:textbox>
                  </v:roundrect>
                  <v:roundrect id="AutoShape 206" o:spid="_x0000_s1026" o:spt="2" style="position:absolute;left:36653;top:5175;height:3161;width:6681;" filled="f" stroked="t" coordsize="21600,21600" arcsize="0.166666666666667" o:gfxdata="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7z7r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textbox>
                      <w:txbxContent>
                        <w:p w14:paraId="617553F1">
                          <w:pPr>
                            <w:pStyle w:val="19"/>
                            <w:jc w:val="left"/>
                          </w:pPr>
                          <w:r>
                            <w:rPr>
                              <w:rFonts w:hint="eastAsia"/>
                            </w:rPr>
                            <w:t>打底漆</w:t>
                          </w:r>
                        </w:p>
                      </w:txbxContent>
                    </v:textbox>
                  </v:roundrect>
                  <v:roundrect id="AutoShape 207" o:spid="_x0000_s1026" o:spt="2" style="position:absolute;left:43979;top:5183;height:3162;width:9742;" filled="f" stroked="t" coordsize="21600,21600" arcsize="0.166666666666667" o:gfxdata="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zwXjW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14:paraId="36DC5074">
                          <w:pPr>
                            <w:pStyle w:val="19"/>
                            <w:jc w:val="left"/>
                          </w:pPr>
                          <w:r>
                            <w:rPr>
                              <w:rFonts w:hint="eastAsia"/>
                            </w:rPr>
                            <w:t>第一道涂层</w:t>
                          </w:r>
                        </w:p>
                      </w:txbxContent>
                    </v:textbox>
                  </v:roundrect>
                  <v:roundrect id="AutoShape 209" o:spid="_x0000_s1026" o:spt="2" style="position:absolute;left:3705;top:9976;height:3162;width:8677;" filled="f" stroked="t" coordsize="21600,21600" arcsize="0.166666666666667" o:gfxdata="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gTYXW/&#10;AAAA3AAAAA8AAAAAAAAAAQAgAAAAIgAAAGRycy9kb3ducmV2LnhtbFBLAQIUABQAAAAIAIdO4kAz&#10;LwWeOwAAADkAAAAQAAAAAAAAAAEAIAAAAA4BAABkcnMvc2hhcGV4bWwueG1sUEsFBgAAAAAGAAYA&#10;WwEAALgDAAAAAA==&#10;">
                    <v:fill on="f" focussize="0,0"/>
                    <v:stroke color="#000000" joinstyle="round"/>
                    <v:imagedata o:title=""/>
                    <o:lock v:ext="edit" aspectratio="f"/>
                    <v:textbox>
                      <w:txbxContent>
                        <w:p w14:paraId="28E210EA">
                          <w:pPr>
                            <w:pStyle w:val="19"/>
                            <w:jc w:val="left"/>
                          </w:pPr>
                          <w:r>
                            <w:rPr>
                              <w:rFonts w:hint="eastAsia"/>
                            </w:rPr>
                            <w:t>复补腻子</w:t>
                          </w:r>
                        </w:p>
                        <w:p w14:paraId="6E500840">
                          <w:pPr>
                            <w:pStyle w:val="19"/>
                            <w:jc w:val="left"/>
                          </w:pPr>
                        </w:p>
                      </w:txbxContent>
                    </v:textbox>
                  </v:roundrect>
                  <v:roundrect id="AutoShape 210" o:spid="_x0000_s1026" o:spt="2" style="position:absolute;left:14759;top:9976;height:3162;width:10572;" filled="f" stroked="t" coordsize="21600,21600" arcsize="0.166666666666667" o:gfxdata="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1/E7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textbox>
                      <w:txbxContent>
                        <w:p w14:paraId="032248CB">
                          <w:pPr>
                            <w:pStyle w:val="19"/>
                          </w:pPr>
                          <w:r>
                            <w:rPr>
                              <w:rFonts w:hint="eastAsia"/>
                            </w:rPr>
                            <w:t>磨平</w:t>
                          </w:r>
                        </w:p>
                        <w:p w14:paraId="06613CB9">
                          <w:pPr>
                            <w:pStyle w:val="19"/>
                          </w:pPr>
                        </w:p>
                      </w:txbxContent>
                    </v:textbox>
                  </v:roundrect>
                  <v:roundrect id="AutoShape 211" o:spid="_x0000_s1026" o:spt="2" style="position:absolute;left:28947;top:9976;height:3162;width:10105;" filled="f" stroked="t" coordsize="21600,21600" arcsize="0.166666666666667" o:gfxdata="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jB/wK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14:paraId="2F6E9719">
                          <w:pPr>
                            <w:pStyle w:val="19"/>
                            <w:jc w:val="left"/>
                          </w:pPr>
                          <w:r>
                            <w:rPr>
                              <w:rFonts w:hint="eastAsia"/>
                            </w:rPr>
                            <w:t>第二道涂层</w:t>
                          </w:r>
                        </w:p>
                        <w:p w14:paraId="0CAF1387">
                          <w:pPr>
                            <w:pStyle w:val="19"/>
                            <w:jc w:val="left"/>
                          </w:pPr>
                        </w:p>
                      </w:txbxContent>
                    </v:textbox>
                  </v:roundrect>
                  <v:shape id="AutoShape 212" o:spid="_x0000_s1026" o:spt="32" type="#_x0000_t32" style="position:absolute;left:10614;top:1580;flip:y;height:13;width:1197;" filled="f" stroked="t" coordsize="21600,21600" o:gfxdata="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JyVJr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AutoShape 213" o:spid="_x0000_s1026" o:spt="32" type="#_x0000_t32" style="position:absolute;left:28953;top:1589;flip:y;height:4;width:1134;" filled="f" stroked="t" coordsize="21600,21600" o:gfxdata="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0DC9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AutoShape 214" o:spid="_x0000_s1026" o:spt="32" type="#_x0000_t32" style="position:absolute;left:36177;top:1580;height:0;width:896;" filled="f" stroked="t" coordsize="21600,21600" o:gfxdata="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5XroO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AutoShape 215" o:spid="_x0000_s1026" o:spt="32" type="#_x0000_t32" style="position:absolute;left:50006;top:1580;height:9;width:1113;" filled="f" stroked="t" coordsize="21600,21600" o:gfxdata="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mW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AutoShape 216" o:spid="_x0000_s1026" o:spt="36" type="#_x0000_t36" style="position:absolute;left:1523;top:1589;flip:x;height:5162;width:54968;" filled="f" stroked="t" coordsize="21600,21600" o:gfxdata="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ddcRrsAAADc&#10;AAAADwAAAAAAAAABACAAAAAiAAAAZHJzL2Rvd25yZXYueG1sUEsBAhQAFAAAAAgAh07iQDMvBZ47&#10;AAAAOQAAABAAAAAAAAAAAQAgAAAACgEAAGRycy9zaGFwZXhtbC54bWxQSwUGAAAAAAYABgBbAQAA&#10;tAMAAAAA&#10;" adj="-898,10791,21937">
                    <v:fill on="f" focussize="0,0"/>
                    <v:stroke color="#000000" miterlimit="8" joinstyle="miter" endarrow="block"/>
                    <v:imagedata o:title=""/>
                    <o:lock v:ext="edit" aspectratio="f"/>
                  </v:shape>
                  <v:shape id="AutoShape 217" o:spid="_x0000_s1026" o:spt="32" type="#_x0000_t32" style="position:absolute;left:14763;top:6751;height:13;width:1143;" filled="f" stroked="t" coordsize="21600,21600" o:gfxdata="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EAOy&#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AutoShape 218" o:spid="_x0000_s1026" o:spt="32" type="#_x0000_t32" style="position:absolute;left:21679;top:6764;flip:y;height:0;width:895;" filled="f" stroked="t" coordsize="21600,21600" o:gfxdata="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15q3r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AutoShape 219" o:spid="_x0000_s1026" o:spt="32" type="#_x0000_t32" style="position:absolute;left:35337;top:6851;flip:y;height:8;width:1320;" filled="f" stroked="t" coordsize="21600,21600" o:gfxdata="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jH6C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AutoShape 220" o:spid="_x0000_s1026" o:spt="32" type="#_x0000_t32" style="position:absolute;left:43334;top:6756;height:8;width:645;" filled="f" stroked="t" coordsize="21600,21600" o:gfxdata="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zTSC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AutoShape 222" o:spid="_x0000_s1026" o:spt="36" type="#_x0000_t36" style="position:absolute;left:3705;top:6764;flip:x;height:4793;width:50016;" filled="f" stroked="t" coordsize="21600,21600" o:gfxdata="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MIJO8AAAA&#10;3AAAAA8AAAAAAAAAAQAgAAAAIgAAAGRycy9kb3ducmV2LnhtbFBLAQIUABQAAAAIAIdO4kAzLwWe&#10;OwAAADkAAAAQAAAAAAAAAAEAIAAAAAsBAABkcnMvc2hhcGV4bWwueG1sUEsFBgAAAAAGAAYAWwEA&#10;ALUDAAAAAA==&#10;" adj="-987,10800,22587">
                    <v:fill on="f" focussize="0,0"/>
                    <v:stroke color="#000000" miterlimit="8" joinstyle="miter" endarrow="block"/>
                    <v:imagedata o:title=""/>
                    <o:lock v:ext="edit" aspectratio="f"/>
                  </v:shape>
                  <v:shape id="AutoShape 223" o:spid="_x0000_s1026" o:spt="32" type="#_x0000_t32" style="position:absolute;left:12382;top:11557;height:0;width:2377;" filled="f" stroked="t" coordsize="21600,21600" o:gfxdata="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YHzJ&#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AutoShape 224" o:spid="_x0000_s1026" o:spt="32" type="#_x0000_t32" style="position:absolute;left:25331;top:11557;height:0;width:3616;" filled="f" stroked="t" coordsize="21600,21600" o:gfxdata="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0s2VK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AutoShape 224" o:spid="_x0000_s1026" o:spt="32" type="#_x0000_t32" style="position:absolute;left:39052;top:11557;height:0;width:1607;" filled="f" stroked="t" coordsize="21600,21600" o:gfxdata="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DQ4m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roundrect id="AutoShape 208" o:spid="_x0000_s1026" o:spt="2" style="position:absolute;left:40667;top:9988;height:3150;width:13816;" filled="f" stroked="t" coordsize="21600,21600" arcsize="0.166666666666667" o:gfxdata="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n41m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textbox>
                      <w:txbxContent>
                        <w:p w14:paraId="3639A13B">
                          <w:pPr>
                            <w:pStyle w:val="19"/>
                          </w:pPr>
                          <w:r>
                            <w:rPr>
                              <w:rFonts w:hint="eastAsia"/>
                            </w:rPr>
                            <w:t>第三道涂层</w:t>
                          </w:r>
                        </w:p>
                        <w:p w14:paraId="6614BA15">
                          <w:pPr>
                            <w:pStyle w:val="19"/>
                          </w:pPr>
                        </w:p>
                      </w:txbxContent>
                    </v:textbox>
                  </v:roundrect>
                </v:group>
                <w10:wrap type="none"/>
                <w10:anchorlock/>
              </v:group>
            </w:pict>
          </mc:Fallback>
        </mc:AlternateContent>
      </w:r>
    </w:p>
    <w:p w14:paraId="2FD9223D">
      <w:pPr>
        <w:spacing w:line="360" w:lineRule="auto"/>
        <w:ind w:firstLine="48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 xml:space="preserve">2.11 </w:t>
      </w:r>
      <w:r>
        <w:rPr>
          <w:rFonts w:hint="eastAsia" w:ascii="宋体" w:hAnsi="宋体" w:eastAsia="宋体" w:cs="宋体"/>
          <w:color w:val="auto"/>
          <w:sz w:val="21"/>
          <w:szCs w:val="21"/>
        </w:rPr>
        <w:t>施工</w:t>
      </w:r>
      <w:r>
        <w:rPr>
          <w:rFonts w:hint="eastAsia" w:ascii="宋体" w:hAnsi="宋体" w:eastAsia="宋体" w:cs="宋体"/>
          <w:color w:val="auto"/>
          <w:sz w:val="21"/>
          <w:szCs w:val="21"/>
          <w:lang w:val="en-US" w:eastAsia="zh-CN"/>
        </w:rPr>
        <w:t>要求</w:t>
      </w:r>
    </w:p>
    <w:p w14:paraId="3B042A88">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基层处理：先将抹灰面灰渣及疙瘩等杂物用铲刀铲除，然后用棕刷将表面灰尘污垢清除干净。表面清扫后，用腻子将墙面批平。腻子干透后，先用铲刀将多余腻子铲平，再用1号砂纸打磨平整。板面拼缝一般用粘贴接缝隙带。钉尾刷防锈漆，并用石膏腻子抹平。阴角用腻子嵌满贴上接缝带。</w:t>
      </w:r>
    </w:p>
    <w:p w14:paraId="74E7D322">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满刮腻子及打磨：当室内涂装面较大的缝隙填补平整后，使用批嵌工具满刮乳胶腻子，所有微小砂眼及收缩裂缝均需满刮，以密实、平整、线角棱过整齐为度，同时，应一横接一横地沿着墙面横刮，尽量刮薄，不得漏刮，接头不得留槎，注意不要玷污门窗及其它物面。按顺序</w:t>
      </w:r>
      <w:r>
        <w:rPr>
          <w:rFonts w:hint="eastAsia" w:ascii="宋体" w:hAnsi="宋体" w:eastAsia="宋体" w:cs="宋体"/>
          <w:b w:val="0"/>
          <w:bCs w:val="0"/>
          <w:color w:val="auto"/>
          <w:sz w:val="21"/>
          <w:szCs w:val="21"/>
        </w:rPr>
        <w:t>刮三遍腻子</w:t>
      </w:r>
      <w:r>
        <w:rPr>
          <w:rFonts w:hint="eastAsia" w:ascii="宋体" w:hAnsi="宋体" w:eastAsia="宋体" w:cs="宋体"/>
          <w:color w:val="auto"/>
          <w:sz w:val="21"/>
          <w:szCs w:val="21"/>
        </w:rPr>
        <w:t>，腻子干透后，用1号砂纸裹着平整砂皮架上，将腻子渣及高低不平处打磨平整，直至光滑为止。注意用力均匀，保护棱角。磨后用棕扫帚清批干净。</w:t>
      </w:r>
    </w:p>
    <w:p w14:paraId="7BE1642F">
      <w:pPr>
        <w:spacing w:line="360" w:lineRule="auto"/>
        <w:ind w:firstLine="480"/>
        <w:rPr>
          <w:rFonts w:hint="eastAsia" w:ascii="宋体" w:hAnsi="宋体" w:eastAsia="宋体" w:cs="宋体"/>
          <w:color w:val="auto"/>
          <w:sz w:val="21"/>
          <w:szCs w:val="21"/>
        </w:rPr>
      </w:pPr>
      <w:r>
        <w:rPr>
          <w:rFonts w:hint="eastAsia" w:ascii="宋体" w:hAnsi="宋体" w:eastAsia="宋体" w:cs="宋体"/>
          <w:b w:val="0"/>
          <w:bCs w:val="0"/>
          <w:color w:val="auto"/>
          <w:sz w:val="21"/>
          <w:szCs w:val="21"/>
        </w:rPr>
        <w:t>第一遍涂料</w:t>
      </w:r>
      <w:r>
        <w:rPr>
          <w:rFonts w:hint="eastAsia" w:ascii="宋体" w:hAnsi="宋体" w:eastAsia="宋体" w:cs="宋体"/>
          <w:color w:val="auto"/>
          <w:sz w:val="21"/>
          <w:szCs w:val="21"/>
        </w:rPr>
        <w:t>：第一遍涂料涂刷前必须将基层表面清扫干净，擦净浮灰。涂刷时宜用滚涂法，涂刷顺序一般是从上到下，从左到右，先横后竖，先边线、棱角、小面后大面。阴角处不得有残涂料，阳角处不得裹棱。如墙一次涂刷不能从上到底时，应多层次上下同时作业，互相配合协作，避免接槎、刷涂重迭现象。独立面每遍应用同一批涂料，并一次完成。</w:t>
      </w:r>
    </w:p>
    <w:p w14:paraId="355C1E49">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复补腻子：每一遍涂料干透后，应普遍检查一遍，如有缺陷应局部复补涂料腻子一遍，并用牛角刮抹，以免损伤涂料漆膜。</w:t>
      </w:r>
    </w:p>
    <w:p w14:paraId="1953A527">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磨光：复补腻子干透后，应用细砂纸将涂料面打麻平滑，注意用力应轻而匀，且不得磨穿漆膜，磨后将表面清扫干净。</w:t>
      </w:r>
    </w:p>
    <w:p w14:paraId="67C295C4">
      <w:pPr>
        <w:spacing w:line="360" w:lineRule="auto"/>
        <w:ind w:firstLine="480"/>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第二遍涂刷及磨光方式与第一遍相同。</w:t>
      </w:r>
    </w:p>
    <w:p w14:paraId="7A1548E3">
      <w:pPr>
        <w:pStyle w:val="18"/>
        <w:spacing w:line="360" w:lineRule="auto"/>
        <w:ind w:firstLine="496"/>
        <w:rPr>
          <w:rFonts w:hint="eastAsia" w:ascii="宋体" w:hAnsi="宋体" w:eastAsia="宋体" w:cs="宋体"/>
          <w:color w:val="auto"/>
          <w:sz w:val="21"/>
          <w:szCs w:val="21"/>
        </w:rPr>
      </w:pPr>
      <w:r>
        <w:rPr>
          <w:rFonts w:hint="eastAsia" w:ascii="宋体" w:hAnsi="宋体" w:eastAsia="宋体" w:cs="宋体"/>
          <w:b w:val="0"/>
          <w:bCs w:val="0"/>
          <w:color w:val="auto"/>
          <w:sz w:val="21"/>
          <w:szCs w:val="21"/>
        </w:rPr>
        <w:t>第三遍涂刷：</w:t>
      </w:r>
      <w:r>
        <w:rPr>
          <w:rFonts w:hint="eastAsia" w:ascii="宋体" w:hAnsi="宋体" w:eastAsia="宋体" w:cs="宋体"/>
          <w:color w:val="auto"/>
          <w:sz w:val="21"/>
          <w:szCs w:val="21"/>
        </w:rPr>
        <w:t>其涂刷顺序与方法和第一遍相同，要求表面更美观细腻，必须使用排笔涂刷。大面积涂刷时应多人配合流水作业，互相衔接。一般从不显眼的一头开始，逐渐向另一头循序涂刷，至不显眼处收刷为止，不得出现接槎及刷纹，排笔毛若粘附在墙上应及时剔掉，高级涂刷时，表面应用更细的砂纸轻轻打磨光滑。</w:t>
      </w:r>
    </w:p>
    <w:p w14:paraId="0C7DB791">
      <w:pPr>
        <w:pStyle w:val="4"/>
        <w:spacing w:line="360" w:lineRule="auto"/>
        <w:ind w:firstLine="562"/>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2.2 </w:t>
      </w:r>
      <w:r>
        <w:rPr>
          <w:rFonts w:hint="eastAsia" w:ascii="宋体" w:hAnsi="宋体" w:eastAsia="宋体" w:cs="宋体"/>
          <w:color w:val="auto"/>
          <w:sz w:val="21"/>
          <w:szCs w:val="21"/>
        </w:rPr>
        <w:t>彩钢板</w:t>
      </w:r>
      <w:r>
        <w:rPr>
          <w:rFonts w:hint="eastAsia" w:ascii="宋体" w:hAnsi="宋体" w:eastAsia="宋体" w:cs="宋体"/>
          <w:color w:val="auto"/>
          <w:sz w:val="21"/>
          <w:szCs w:val="21"/>
          <w:lang w:val="en-US" w:eastAsia="zh-CN"/>
        </w:rPr>
        <w:t>隔墙要求</w:t>
      </w:r>
    </w:p>
    <w:p w14:paraId="4ED93B4E">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所用材料必须有产品合格证，其品种、型号、规格应符合设计要求。</w:t>
      </w:r>
    </w:p>
    <w:p w14:paraId="520B51AA">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轻钢龙骨必须保证刚度，不得弯曲变形，门口处应予加固。</w:t>
      </w:r>
    </w:p>
    <w:p w14:paraId="7E692C8A">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彩钢板墙板表面不得划伤，不得受潮、翘曲变形、无脱层、折裂、厚度应一致。</w:t>
      </w:r>
    </w:p>
    <w:p w14:paraId="4A1DD750">
      <w:pPr>
        <w:spacing w:line="360" w:lineRule="auto"/>
        <w:ind w:firstLine="480"/>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、地面工程</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详见</w:t>
      </w:r>
      <w:r>
        <w:rPr>
          <w:rFonts w:hint="eastAsia" w:ascii="宋体" w:hAnsi="宋体" w:eastAsia="宋体" w:cs="宋体"/>
          <w:b/>
          <w:bCs/>
          <w:i w:val="0"/>
          <w:iCs w:val="0"/>
          <w:color w:val="auto"/>
          <w:sz w:val="21"/>
          <w:szCs w:val="21"/>
          <w:lang w:val="en-US" w:eastAsia="zh-CN"/>
        </w:rPr>
        <w:t xml:space="preserve">第二章  </w:t>
      </w:r>
      <w:r>
        <w:rPr>
          <w:rFonts w:hint="eastAsia" w:ascii="宋体" w:hAnsi="宋体" w:eastAsia="宋体" w:cs="宋体"/>
          <w:b/>
          <w:bCs/>
          <w:i w:val="0"/>
          <w:iCs w:val="0"/>
          <w:color w:val="auto"/>
          <w:sz w:val="21"/>
          <w:szCs w:val="21"/>
        </w:rPr>
        <w:t>重要分项工程的</w:t>
      </w:r>
      <w:r>
        <w:rPr>
          <w:rFonts w:hint="eastAsia" w:ascii="宋体" w:hAnsi="宋体" w:eastAsia="宋体" w:cs="宋体"/>
          <w:b/>
          <w:bCs/>
          <w:i w:val="0"/>
          <w:iCs w:val="0"/>
          <w:color w:val="auto"/>
          <w:sz w:val="21"/>
          <w:szCs w:val="21"/>
          <w:lang w:val="en-US" w:eastAsia="zh-CN"/>
        </w:rPr>
        <w:t>设计要求</w:t>
      </w:r>
      <w:r>
        <w:rPr>
          <w:rFonts w:hint="eastAsia" w:ascii="宋体" w:hAnsi="宋体" w:eastAsia="宋体" w:cs="宋体"/>
          <w:b/>
          <w:bCs/>
          <w:color w:val="auto"/>
          <w:sz w:val="21"/>
          <w:szCs w:val="21"/>
          <w:lang w:eastAsia="zh-CN"/>
        </w:rPr>
        <w:t>）</w:t>
      </w:r>
    </w:p>
    <w:p w14:paraId="1A830421">
      <w:pPr>
        <w:spacing w:line="360" w:lineRule="auto"/>
        <w:ind w:firstLine="48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3.1抗静电</w:t>
      </w:r>
      <w:r>
        <w:rPr>
          <w:rFonts w:hint="eastAsia" w:ascii="宋体" w:hAnsi="宋体" w:eastAsia="宋体" w:cs="宋体"/>
          <w:b/>
          <w:bCs/>
          <w:color w:val="auto"/>
          <w:sz w:val="21"/>
          <w:szCs w:val="21"/>
        </w:rPr>
        <w:t>环氧树脂自流平地坪</w:t>
      </w:r>
      <w:r>
        <w:rPr>
          <w:rFonts w:hint="eastAsia" w:ascii="宋体" w:hAnsi="宋体" w:eastAsia="宋体" w:cs="宋体"/>
          <w:b/>
          <w:bCs/>
          <w:color w:val="auto"/>
          <w:sz w:val="21"/>
          <w:szCs w:val="21"/>
          <w:lang w:val="en-US" w:eastAsia="zh-CN"/>
        </w:rPr>
        <w:t>施工要求</w:t>
      </w:r>
    </w:p>
    <w:p w14:paraId="4FED1DD4">
      <w:pPr>
        <w:spacing w:line="360" w:lineRule="auto"/>
        <w:ind w:firstLine="48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环氧涂层不得低于3mm，</w:t>
      </w:r>
      <w:r>
        <w:rPr>
          <w:rFonts w:hint="eastAsia" w:ascii="宋体" w:hAnsi="宋体" w:eastAsia="宋体" w:cs="宋体"/>
          <w:color w:val="auto"/>
          <w:sz w:val="21"/>
          <w:szCs w:val="21"/>
        </w:rPr>
        <w:t>应选择高固含量低粘度的环氧树脂，并加入活性稀释剂，使涂料具有合适的粘度同时又有较高的固含量，以保证能够自流平且流平后能达要求厚度。应选用质地坚硬的填料，以保证耐重压、耐磨的要求。加入抗划伤剂，以保持长久光泽。</w:t>
      </w:r>
      <w:bookmarkStart w:id="8" w:name="_Toc89248665"/>
      <w:bookmarkStart w:id="9" w:name="_Toc66369028"/>
      <w:bookmarkStart w:id="10" w:name="_Toc82070462"/>
      <w:bookmarkStart w:id="11" w:name="_Toc2616"/>
      <w:r>
        <w:rPr>
          <w:rFonts w:hint="eastAsia" w:ascii="宋体" w:hAnsi="宋体" w:eastAsia="宋体" w:cs="宋体"/>
          <w:i w:val="0"/>
          <w:caps w:val="0"/>
          <w:color w:val="auto"/>
          <w:spacing w:val="0"/>
          <w:sz w:val="21"/>
          <w:szCs w:val="21"/>
          <w:shd w:val="clear" w:fill="FFFFFF"/>
          <w:lang w:eastAsia="zh-CN"/>
        </w:rPr>
        <w:t>（</w:t>
      </w:r>
      <w:r>
        <w:rPr>
          <w:rFonts w:hint="eastAsia" w:ascii="宋体" w:hAnsi="宋体" w:eastAsia="宋体" w:cs="宋体"/>
          <w:i w:val="0"/>
          <w:caps w:val="0"/>
          <w:color w:val="auto"/>
          <w:spacing w:val="0"/>
          <w:sz w:val="21"/>
          <w:szCs w:val="21"/>
          <w:shd w:val="clear" w:fill="FFFFFF"/>
          <w:lang w:val="en-US" w:eastAsia="zh-CN"/>
        </w:rPr>
        <w:t>如有用到，参照此标准</w:t>
      </w:r>
      <w:r>
        <w:rPr>
          <w:rFonts w:hint="eastAsia" w:ascii="宋体" w:hAnsi="宋体" w:eastAsia="宋体" w:cs="宋体"/>
          <w:i w:val="0"/>
          <w:caps w:val="0"/>
          <w:color w:val="auto"/>
          <w:spacing w:val="0"/>
          <w:sz w:val="21"/>
          <w:szCs w:val="21"/>
          <w:shd w:val="clear" w:fill="FFFFFF"/>
          <w:lang w:eastAsia="zh-CN"/>
        </w:rPr>
        <w:t>）</w:t>
      </w:r>
    </w:p>
    <w:p w14:paraId="417189FF">
      <w:pPr>
        <w:spacing w:line="360" w:lineRule="auto"/>
        <w:ind w:firstLine="691" w:firstLineChars="328"/>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rPr>
        <w:t>、电气</w:t>
      </w:r>
      <w:bookmarkEnd w:id="8"/>
      <w:bookmarkEnd w:id="9"/>
      <w:bookmarkEnd w:id="10"/>
      <w:r>
        <w:rPr>
          <w:rFonts w:hint="eastAsia" w:ascii="宋体" w:hAnsi="宋体" w:eastAsia="宋体" w:cs="宋体"/>
          <w:b/>
          <w:bCs/>
          <w:color w:val="auto"/>
          <w:sz w:val="21"/>
          <w:szCs w:val="21"/>
          <w:lang w:val="en-US" w:eastAsia="zh-CN"/>
        </w:rPr>
        <w:t>工程质量要求</w:t>
      </w:r>
      <w:bookmarkEnd w:id="11"/>
    </w:p>
    <w:p w14:paraId="697A1E0A">
      <w:pPr>
        <w:spacing w:line="360" w:lineRule="auto"/>
        <w:ind w:firstLine="632" w:firstLineChars="30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4.1配电箱安装要求</w:t>
      </w:r>
    </w:p>
    <w:p w14:paraId="48FBCB53">
      <w:pPr>
        <w:spacing w:line="360" w:lineRule="auto"/>
        <w:ind w:firstLine="630" w:firstLineChars="300"/>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配电箱应安装在安全、干燥、易操作的场所，明装时底口距地1.4m。在同一建筑物内，同类箱的高度应一致，允许偏差为10mm。安装配电箱所用木砖及铁件等均应预埋。挂式配电箱应采用金属膨胀螺栓固定</w:t>
      </w:r>
      <w:r>
        <w:rPr>
          <w:rFonts w:hint="eastAsia" w:ascii="宋体" w:hAnsi="宋体" w:eastAsia="宋体" w:cs="宋体"/>
          <w:color w:val="auto"/>
          <w:spacing w:val="-10"/>
          <w:sz w:val="21"/>
          <w:szCs w:val="21"/>
          <w:lang w:val="zh-CN" w:bidi="zh-CN"/>
        </w:rPr>
        <w:t>。如建筑墙体的砌块是采用</w:t>
      </w:r>
      <w:r>
        <w:rPr>
          <w:rFonts w:hint="eastAsia" w:ascii="宋体" w:hAnsi="宋体" w:eastAsia="宋体" w:cs="宋体"/>
          <w:color w:val="auto"/>
          <w:sz w:val="21"/>
          <w:szCs w:val="21"/>
          <w:lang w:val="zh-CN"/>
        </w:rPr>
        <w:t>空心砖和其它新型中空材料，将采用专用螺栓固定。</w:t>
      </w:r>
    </w:p>
    <w:p w14:paraId="710DF185">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en-US" w:eastAsia="zh-CN"/>
        </w:rPr>
        <w:t>4.11</w:t>
      </w:r>
      <w:r>
        <w:rPr>
          <w:rFonts w:hint="eastAsia" w:ascii="宋体" w:hAnsi="宋体" w:eastAsia="宋体" w:cs="宋体"/>
          <w:color w:val="auto"/>
          <w:sz w:val="21"/>
          <w:szCs w:val="21"/>
          <w:lang w:val="zh-CN"/>
        </w:rPr>
        <w:t>配电箱带有器具的铁制盘面、装有器具的门、电器的金属外壳均应有明显可靠的PE线接地。PE线不允许利用盒、箱体串接。配电箱上配线需排列整齐，并绑扎成束，在活动部位应该两端固定。盘面引出及引进的导线应留有适当余量，以便于检修。</w:t>
      </w:r>
    </w:p>
    <w:p w14:paraId="4C00D1F3">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en-US" w:eastAsia="zh-CN"/>
        </w:rPr>
        <w:t>4.12</w:t>
      </w:r>
      <w:r>
        <w:rPr>
          <w:rFonts w:hint="eastAsia" w:ascii="宋体" w:hAnsi="宋体" w:eastAsia="宋体" w:cs="宋体"/>
          <w:color w:val="auto"/>
          <w:sz w:val="21"/>
          <w:szCs w:val="21"/>
          <w:lang w:val="zh-CN"/>
        </w:rPr>
        <w:t>配电箱上的电源指示灯，其电源应接至总开关的外侧，并应装单独熔断器(电源侧)。零母线在配电箱上应用端子板分路，零线端子板分支路排列位置，应与熔断器相对应。配电箱上的母线应套上有黄(A相)，绿(B相)，红(C相)，蓝(D相)等颜色色带。配电箱上电具、仪表应牢固平正整洁，间距均匀，铜端子无松动，启闭灵活，零部件齐全。</w:t>
      </w:r>
    </w:p>
    <w:p w14:paraId="6EC90805">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en-US" w:eastAsia="zh-CN"/>
        </w:rPr>
        <w:t>4.13</w:t>
      </w:r>
      <w:r>
        <w:rPr>
          <w:rFonts w:hint="eastAsia" w:ascii="宋体" w:hAnsi="宋体" w:eastAsia="宋体" w:cs="宋体"/>
          <w:color w:val="auto"/>
          <w:sz w:val="21"/>
          <w:szCs w:val="21"/>
          <w:lang w:val="zh-CN"/>
        </w:rPr>
        <w:t>配电箱全部电器安装完毕后，用500V兆欧表对线路进行绝缘摇测。摇测项目包括相线与相线之间、相线与地线之间、相线与零线之间。两人进行摇测同时做好记录，作为技术资料存档。</w:t>
      </w:r>
    </w:p>
    <w:p w14:paraId="21CA7EE1">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en-US" w:eastAsia="zh-CN"/>
        </w:rPr>
        <w:t>4.14</w:t>
      </w:r>
      <w:r>
        <w:rPr>
          <w:rFonts w:hint="eastAsia" w:ascii="宋体" w:hAnsi="宋体" w:eastAsia="宋体" w:cs="宋体"/>
          <w:color w:val="auto"/>
          <w:sz w:val="21"/>
          <w:szCs w:val="21"/>
          <w:lang w:val="zh-CN"/>
        </w:rPr>
        <w:t>检查器具的接地(接零)保护措施和其它安全要求必须符合施工规范规定。位置正确，部件齐全，箱体开孔合适，切口整齐。暗式配电箱箱盖紧贴墙面；零线经汇流排(零线端子)连接，无绞接现象；油漆完整，盘内外清洁，箱盖、开关灵活，回路编号齐全，接线整齐，PE线安装明显、牢固。连接牢固紧密，不伤线芯。压板连接时压紧无松动；螺栓连接时，在同一端子上导线不超过两根，防松垫圈等配件齐全。电气设备、器具和非金属部件的接地(接零)导线敷设应符合以下规定：连接紧密、牢固，接地(接零)线截面选择正确，需防腐的部分涂漆均匀无遗漏，不污染设备和建筑物，线路走向合理，色标准确。</w:t>
      </w:r>
    </w:p>
    <w:p w14:paraId="7B67B0AD">
      <w:pPr>
        <w:spacing w:line="360" w:lineRule="auto"/>
        <w:ind w:firstLine="48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4.2低压配电柜安装要求</w:t>
      </w:r>
    </w:p>
    <w:p w14:paraId="6BE6307C">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按图施工，接线正确；导线与电气组件间采用螺栓连接、插接、焊接或压接等，均应牢固可靠；柜内的导线芯线应无损伤，导线中间不应有接头；控制电缆芯线和所配导线的端部均应标明其回路编号，编号应正确，字迹清楚且不宜脱色；配线应整齐、清晰、美观；引入柜内的电缆应排列整齐，编号清晰，避免交叉，并应固定牢固，不得使端子排受力。</w:t>
      </w:r>
    </w:p>
    <w:p w14:paraId="25BDE1F7">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柜内的配线电流回路应采用电压不低于500v截面不小于2.5mm2的铜芯绝缘导线，电压回路导线截面不应小于1.5mm2，对电子组件回路、弱电回路采用锡焊连接时，在满足载流量和电压降及有足够机械强度的情况下，可采用截面不小于0.5mm2的绝缘铜导线。柜之间的连接导线必须经过端子板，按照接线图将足够数量的线理顺，绑扎整齐，套好线号后接到端子板上。布线方法应尽量与柜本身的布线方法一致。</w:t>
      </w:r>
    </w:p>
    <w:p w14:paraId="3D7797F7">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柜安装完后，应进行柜内清扫及检查，检查元器件的布置、固定、接线、接地是否正确、可靠，是否符合设计要求。</w:t>
      </w:r>
    </w:p>
    <w:p w14:paraId="0E2862FC">
      <w:pPr>
        <w:spacing w:line="360" w:lineRule="auto"/>
        <w:ind w:firstLine="480"/>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高压柜应做交流耐压试验，耐压按</w:t>
      </w:r>
      <w:r>
        <w:rPr>
          <w:rFonts w:hint="eastAsia" w:ascii="宋体" w:hAnsi="宋体" w:eastAsia="宋体" w:cs="宋体"/>
          <w:color w:val="auto"/>
          <w:sz w:val="21"/>
          <w:szCs w:val="21"/>
          <w:lang w:val="en-US" w:eastAsia="zh-CN"/>
        </w:rPr>
        <w:t>国内通用</w:t>
      </w:r>
      <w:r>
        <w:rPr>
          <w:rFonts w:hint="eastAsia" w:ascii="宋体" w:hAnsi="宋体" w:eastAsia="宋体" w:cs="宋体"/>
          <w:color w:val="auto"/>
          <w:sz w:val="21"/>
          <w:szCs w:val="21"/>
          <w:lang w:val="zh-CN"/>
        </w:rPr>
        <w:t>标准执行。</w:t>
      </w:r>
    </w:p>
    <w:p w14:paraId="0C17D765">
      <w:pPr>
        <w:spacing w:line="360" w:lineRule="auto"/>
        <w:ind w:firstLine="480"/>
        <w:rPr>
          <w:rFonts w:hint="eastAsia" w:ascii="宋体" w:hAnsi="宋体" w:eastAsia="宋体" w:cs="宋体"/>
          <w:b/>
          <w:color w:val="auto"/>
          <w:sz w:val="21"/>
          <w:szCs w:val="21"/>
        </w:rPr>
      </w:pPr>
      <w:r>
        <w:rPr>
          <w:rFonts w:hint="eastAsia" w:ascii="宋体" w:hAnsi="宋体" w:eastAsia="宋体" w:cs="宋体"/>
          <w:color w:val="auto"/>
          <w:sz w:val="21"/>
          <w:szCs w:val="21"/>
          <w:lang w:val="zh-CN"/>
        </w:rPr>
        <w:t>送电前应按照规范要求进行现场检测，检测内容包括所有相间和相地间的绝缘电阻，高压端用2500V的兆欧表进行检测，读数不能小于10兆欧姆，低压端用1000V兆欧表进行检测，度数应不小于10兆欧。</w:t>
      </w:r>
    </w:p>
    <w:p w14:paraId="531DBDD9">
      <w:pPr>
        <w:pStyle w:val="3"/>
        <w:spacing w:line="360" w:lineRule="auto"/>
        <w:ind w:firstLine="422" w:firstLineChars="200"/>
        <w:outlineLvl w:val="1"/>
        <w:rPr>
          <w:rFonts w:hint="eastAsia" w:ascii="宋体" w:hAnsi="宋体" w:eastAsia="宋体" w:cs="宋体"/>
          <w:color w:val="auto"/>
          <w:sz w:val="21"/>
          <w:szCs w:val="21"/>
        </w:rPr>
      </w:pPr>
      <w:bookmarkStart w:id="12" w:name="_Toc15094"/>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、弱电工程</w:t>
      </w:r>
      <w:r>
        <w:rPr>
          <w:rFonts w:hint="eastAsia" w:ascii="宋体" w:hAnsi="宋体" w:eastAsia="宋体" w:cs="宋体"/>
          <w:color w:val="auto"/>
          <w:sz w:val="21"/>
          <w:szCs w:val="21"/>
          <w:lang w:val="en-US" w:eastAsia="zh-CN"/>
        </w:rPr>
        <w:t>质量要求</w:t>
      </w:r>
      <w:bookmarkEnd w:id="12"/>
    </w:p>
    <w:p w14:paraId="0C00D89B">
      <w:pPr>
        <w:spacing w:line="360" w:lineRule="auto"/>
        <w:ind w:firstLine="480"/>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5.1</w:t>
      </w:r>
      <w:r>
        <w:rPr>
          <w:rFonts w:hint="eastAsia" w:ascii="宋体" w:hAnsi="宋体" w:eastAsia="宋体" w:cs="宋体"/>
          <w:b/>
          <w:bCs/>
          <w:color w:val="auto"/>
          <w:sz w:val="21"/>
          <w:szCs w:val="21"/>
        </w:rPr>
        <w:t>机柜安装</w:t>
      </w:r>
      <w:r>
        <w:rPr>
          <w:rFonts w:hint="eastAsia" w:ascii="宋体" w:hAnsi="宋体" w:eastAsia="宋体" w:cs="宋体"/>
          <w:b/>
          <w:bCs/>
          <w:color w:val="auto"/>
          <w:sz w:val="21"/>
          <w:szCs w:val="21"/>
          <w:lang w:val="en-US" w:eastAsia="zh-CN"/>
        </w:rPr>
        <w:t>要求</w:t>
      </w:r>
      <w:r>
        <w:rPr>
          <w:rFonts w:hint="eastAsia" w:ascii="宋体" w:hAnsi="宋体" w:eastAsia="宋体" w:cs="宋体"/>
          <w:b/>
          <w:bCs/>
          <w:color w:val="auto"/>
          <w:sz w:val="21"/>
          <w:szCs w:val="21"/>
          <w:lang w:eastAsia="zh-CN"/>
        </w:rPr>
        <w:t>：</w:t>
      </w:r>
    </w:p>
    <w:p w14:paraId="3E1155ED">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 xml:space="preserve">水平、垂直度应符合厂家规定。如无厂家规定时，垂直度偏差不大于3mm；安装机柜面板，架前留有1.5m空间，机柜背面离墙距离大于0.8m，以便于安装和施工；壁挂式机柜底距地面宜为300-800mm。 </w:t>
      </w:r>
    </w:p>
    <w:p w14:paraId="538301AA">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 xml:space="preserve">5.11 </w:t>
      </w:r>
      <w:r>
        <w:rPr>
          <w:rFonts w:hint="eastAsia" w:ascii="宋体" w:hAnsi="宋体" w:eastAsia="宋体" w:cs="宋体"/>
          <w:color w:val="auto"/>
          <w:sz w:val="21"/>
          <w:szCs w:val="21"/>
        </w:rPr>
        <w:t>配线设备机柜安装方法： 采用下走线方式时，架底位置与电缆上线孔相对应；各直列垂直倾斜误差不应大于3mm，底座水平误差每平方米不大于2mm；接线端子各种标志齐全；交接箱或暗线箱暗设在墙体内。预留墙洞安装，箱底高出地面为500-1000mm。</w:t>
      </w:r>
    </w:p>
    <w:p w14:paraId="4A003A06">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 xml:space="preserve">5.12 </w:t>
      </w:r>
      <w:r>
        <w:rPr>
          <w:rFonts w:hint="eastAsia" w:ascii="宋体" w:hAnsi="宋体" w:eastAsia="宋体" w:cs="宋体"/>
          <w:color w:val="auto"/>
          <w:sz w:val="21"/>
          <w:szCs w:val="21"/>
        </w:rPr>
        <w:t>模块设备完整，安装就位，标志齐全；安装螺丝必须拧紧，面板保持在一个水平面上。</w:t>
      </w:r>
    </w:p>
    <w:p w14:paraId="599FD340">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5.1</w:t>
      </w: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线缆的敷设要求：</w:t>
      </w:r>
    </w:p>
    <w:p w14:paraId="4271B58B">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 xml:space="preserve"> 缆线布放前应核对规格、程式、路由及位置与设计规定相符。 缆线的布放应平直，不得产生扭绞、打圈等现象，不应受到外力的挤压和损伤。 缆线在布放前两端应贴有标签，以表明起始和终端位置，标签书写应清晰、端正和正确。 电源线、信号电缆、对绞电缆、光缆及建筑物内其他弱电系统的缆线应分离布放。各缆线间的最小净距应符合设计要求。</w:t>
      </w:r>
    </w:p>
    <w:p w14:paraId="433D68F6">
      <w:pPr>
        <w:spacing w:line="360" w:lineRule="auto"/>
        <w:ind w:firstLine="48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5.14 </w:t>
      </w:r>
      <w:r>
        <w:rPr>
          <w:rFonts w:hint="eastAsia" w:ascii="宋体" w:hAnsi="宋体" w:eastAsia="宋体" w:cs="宋体"/>
          <w:color w:val="auto"/>
          <w:sz w:val="21"/>
          <w:szCs w:val="21"/>
        </w:rPr>
        <w:t>缆线布放时余量</w:t>
      </w:r>
      <w:r>
        <w:rPr>
          <w:rFonts w:hint="eastAsia" w:ascii="宋体" w:hAnsi="宋体" w:eastAsia="宋体" w:cs="宋体"/>
          <w:color w:val="auto"/>
          <w:sz w:val="21"/>
          <w:szCs w:val="21"/>
          <w:lang w:val="en-US" w:eastAsia="zh-CN"/>
        </w:rPr>
        <w:t>要求</w:t>
      </w:r>
    </w:p>
    <w:p w14:paraId="177C30C5">
      <w:pPr>
        <w:spacing w:line="360"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在交接间、设备间对绞电缆预留长度</w:t>
      </w:r>
      <w:r>
        <w:rPr>
          <w:rFonts w:hint="eastAsia" w:ascii="宋体" w:hAnsi="宋体" w:eastAsia="宋体" w:cs="宋体"/>
          <w:color w:val="auto"/>
          <w:sz w:val="21"/>
          <w:szCs w:val="21"/>
          <w:lang w:val="en-US" w:eastAsia="zh-CN"/>
        </w:rPr>
        <w:t>应预留</w:t>
      </w:r>
      <w:r>
        <w:rPr>
          <w:rFonts w:hint="eastAsia" w:ascii="宋体" w:hAnsi="宋体" w:eastAsia="宋体" w:cs="宋体"/>
          <w:color w:val="auto"/>
          <w:sz w:val="21"/>
          <w:szCs w:val="21"/>
        </w:rPr>
        <w:t>3-6m，工作区为0.3-0.6m；</w:t>
      </w:r>
    </w:p>
    <w:p w14:paraId="4CF9F800">
      <w:pPr>
        <w:spacing w:line="360" w:lineRule="auto"/>
        <w:ind w:firstLine="48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5.15线缆桥架要求</w:t>
      </w:r>
    </w:p>
    <w:p w14:paraId="3718DE82">
      <w:pPr>
        <w:spacing w:line="360" w:lineRule="auto"/>
        <w:ind w:firstLine="48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电缆桥架宜距离地面2.2m以上，桥架顶部距顶棚或其他障碍物不应小于0.30m。桥架内横断面的填充率不应超过50%。 电缆桥架内缆线垂直敷设时，在缆线的上端和每隔1.5m处应固定在桥架的支架上；水平敷设时，在缆线的首、尾转弯及每隔3-5m处进行固定。 在水平、垂直桥架和垂直线槽中敷设缆线时，</w:t>
      </w:r>
      <w:r>
        <w:rPr>
          <w:rFonts w:hint="eastAsia" w:ascii="宋体" w:hAnsi="宋体" w:eastAsia="宋体" w:cs="宋体"/>
          <w:color w:val="auto"/>
          <w:sz w:val="21"/>
          <w:szCs w:val="21"/>
          <w:lang w:val="en-US" w:eastAsia="zh-CN"/>
        </w:rPr>
        <w:t>要求</w:t>
      </w:r>
      <w:r>
        <w:rPr>
          <w:rFonts w:hint="eastAsia" w:ascii="宋体" w:hAnsi="宋体" w:eastAsia="宋体" w:cs="宋体"/>
          <w:color w:val="auto"/>
          <w:sz w:val="21"/>
          <w:szCs w:val="21"/>
        </w:rPr>
        <w:t>对缆线进行绑扎。</w:t>
      </w:r>
    </w:p>
    <w:p w14:paraId="6AEBD6F2">
      <w:pPr>
        <w:pStyle w:val="3"/>
        <w:ind w:firstLine="632" w:firstLineChars="300"/>
        <w:rPr>
          <w:rFonts w:hint="default" w:ascii="宋体" w:hAnsi="宋体" w:eastAsia="宋体" w:cs="宋体"/>
          <w:color w:val="auto"/>
          <w:sz w:val="21"/>
          <w:szCs w:val="21"/>
          <w:lang w:val="en-US" w:eastAsia="zh-CN"/>
        </w:rPr>
      </w:pPr>
      <w:bookmarkStart w:id="13" w:name="_Toc24764"/>
      <w:r>
        <w:rPr>
          <w:rFonts w:hint="eastAsia" w:ascii="宋体" w:hAnsi="宋体" w:eastAsia="宋体" w:cs="宋体"/>
          <w:color w:val="auto"/>
          <w:sz w:val="21"/>
          <w:szCs w:val="21"/>
          <w:lang w:val="en-US" w:eastAsia="zh-CN"/>
        </w:rPr>
        <w:t xml:space="preserve">6  </w:t>
      </w:r>
      <w:r>
        <w:rPr>
          <w:rFonts w:hint="eastAsia" w:ascii="宋体" w:hAnsi="宋体" w:eastAsia="宋体" w:cs="宋体"/>
          <w:color w:val="auto"/>
          <w:sz w:val="21"/>
          <w:szCs w:val="21"/>
        </w:rPr>
        <w:t>其</w:t>
      </w:r>
      <w:r>
        <w:rPr>
          <w:rFonts w:hint="eastAsia" w:ascii="宋体" w:hAnsi="宋体" w:eastAsia="宋体" w:cs="宋体"/>
          <w:color w:val="auto"/>
          <w:sz w:val="21"/>
          <w:szCs w:val="21"/>
          <w:lang w:val="en-US" w:eastAsia="zh-CN"/>
        </w:rPr>
        <w:t>余施工要求</w:t>
      </w:r>
      <w:bookmarkEnd w:id="13"/>
    </w:p>
    <w:p w14:paraId="5A5F8ED5">
      <w:pPr>
        <w:keepNext w:val="0"/>
        <w:keepLines w:val="0"/>
        <w:widowControl/>
        <w:suppressLineNumbers w:val="0"/>
        <w:spacing w:line="360" w:lineRule="auto"/>
        <w:ind w:firstLine="632" w:firstLineChars="300"/>
        <w:jc w:val="left"/>
        <w:outlineLvl w:val="1"/>
        <w:rPr>
          <w:rFonts w:hint="eastAsia" w:ascii="宋体" w:hAnsi="宋体" w:eastAsia="宋体" w:cs="宋体"/>
          <w:color w:val="auto"/>
          <w:sz w:val="21"/>
          <w:szCs w:val="21"/>
        </w:rPr>
      </w:pPr>
      <w:bookmarkStart w:id="14" w:name="_Toc29656"/>
      <w:r>
        <w:rPr>
          <w:rFonts w:hint="eastAsia" w:ascii="宋体" w:hAnsi="宋体" w:eastAsia="宋体" w:cs="宋体"/>
          <w:b/>
          <w:color w:val="auto"/>
          <w:kern w:val="0"/>
          <w:sz w:val="21"/>
          <w:szCs w:val="21"/>
          <w:lang w:val="en-US" w:eastAsia="zh-CN" w:bidi="ar"/>
        </w:rPr>
        <w:t>1.立面饰面施工要求 （会议室、公共过道饰面墙板、大堂背景岩板等）</w:t>
      </w:r>
      <w:bookmarkEnd w:id="14"/>
    </w:p>
    <w:p w14:paraId="7FD2CFB3">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1.按照水平标高线，弹出墙面装饰面的基准线，最下方的一块饰面不能低于地面铺装完成面控制线，便于地面砖铺贴时插入最下方的墙砖底部空隙。 </w:t>
      </w:r>
    </w:p>
    <w:p w14:paraId="64852D7E">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2.立面饰面的最高的一片应当切割整齐，以免造成吊顶施工完成后与墙面出现缝隙。 </w:t>
      </w:r>
    </w:p>
    <w:p w14:paraId="59DD3538">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3.如在施工的过程中发现水电预埋的相邻底盒垂直度、水平度发生偏差的现象，装修单位应当对底盒位置进行调整。 </w:t>
      </w:r>
    </w:p>
    <w:p w14:paraId="749F7095">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4.立面饰面完成后阳角处应用 90°护角板进行保护，并粘贴牢固，护角高度需达到 1.5 米。 </w:t>
      </w:r>
    </w:p>
    <w:p w14:paraId="0D33DF32">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5.通风井道风口尺寸预留严格按甲方提供的尺寸进行预留，不能偏大或者偏小。 </w:t>
      </w:r>
    </w:p>
    <w:p w14:paraId="5F060126">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6.所有水电预埋的暗盒开孔尺寸均为内空尺寸，并从饰面板背面进行切割，不允许在表面留有切痕。 </w:t>
      </w:r>
    </w:p>
    <w:p w14:paraId="5DC267AF">
      <w:pPr>
        <w:keepNext w:val="0"/>
        <w:keepLines w:val="0"/>
        <w:widowControl/>
        <w:suppressLineNumbers w:val="0"/>
        <w:spacing w:line="360" w:lineRule="auto"/>
        <w:ind w:firstLine="632" w:firstLineChars="300"/>
        <w:jc w:val="left"/>
        <w:outlineLvl w:val="1"/>
        <w:rPr>
          <w:rFonts w:hint="eastAsia" w:ascii="宋体" w:hAnsi="宋体" w:eastAsia="宋体" w:cs="宋体"/>
          <w:sz w:val="21"/>
          <w:szCs w:val="21"/>
        </w:rPr>
      </w:pPr>
      <w:bookmarkStart w:id="15" w:name="_Toc26601"/>
      <w:r>
        <w:rPr>
          <w:rFonts w:hint="eastAsia" w:ascii="宋体" w:hAnsi="宋体" w:eastAsia="宋体" w:cs="宋体"/>
          <w:b/>
          <w:color w:val="000000"/>
          <w:kern w:val="0"/>
          <w:sz w:val="21"/>
          <w:szCs w:val="21"/>
          <w:lang w:val="en-US" w:eastAsia="zh-CN" w:bidi="ar"/>
        </w:rPr>
        <w:t>2 地面砖铺贴要求（如有）</w:t>
      </w:r>
      <w:bookmarkEnd w:id="15"/>
      <w:r>
        <w:rPr>
          <w:rFonts w:hint="eastAsia" w:ascii="宋体" w:hAnsi="宋体" w:eastAsia="宋体" w:cs="宋体"/>
          <w:b/>
          <w:color w:val="000000"/>
          <w:kern w:val="0"/>
          <w:sz w:val="21"/>
          <w:szCs w:val="21"/>
          <w:lang w:val="en-US" w:eastAsia="zh-CN" w:bidi="ar"/>
        </w:rPr>
        <w:t xml:space="preserve"> </w:t>
      </w:r>
    </w:p>
    <w:p w14:paraId="38A57CF7">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1.开敞式电梯前室的地面砖铺贴时注意放坡，并用进行薄膜保护。现场给排水口需进行保护，避免水泥砂浆污染及堵塞。 </w:t>
      </w:r>
    </w:p>
    <w:p w14:paraId="3719EA99">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2.有栏杆混凝土返边的压顶铺装，要注意压顶铺装完成后的栏杆净高度不能小于 110cm 规范要求。 </w:t>
      </w:r>
    </w:p>
    <w:p w14:paraId="68E09921">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3.办公室及前台大厅门洞的地面砖铺应当注意加宽 2~3 公分，并延伸入门洞内，避免安装好的入户门槛与地面砖留有缝隙。 </w:t>
      </w:r>
    </w:p>
    <w:p w14:paraId="6358D876">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4.防火门及防火卷帘下方门槛石侧面需用湿水泥砂浆抹直压紧收口。 </w:t>
      </w:r>
    </w:p>
    <w:p w14:paraId="60722921">
      <w:pPr>
        <w:keepNext w:val="0"/>
        <w:keepLines w:val="0"/>
        <w:widowControl/>
        <w:suppressLineNumbers w:val="0"/>
        <w:spacing w:line="360" w:lineRule="auto"/>
        <w:ind w:firstLine="632" w:firstLineChars="300"/>
        <w:jc w:val="left"/>
        <w:outlineLvl w:val="1"/>
        <w:rPr>
          <w:rFonts w:hint="eastAsia" w:ascii="宋体" w:hAnsi="宋体" w:eastAsia="宋体" w:cs="宋体"/>
          <w:sz w:val="21"/>
          <w:szCs w:val="21"/>
        </w:rPr>
      </w:pPr>
      <w:bookmarkStart w:id="16" w:name="_Toc4986"/>
      <w:r>
        <w:rPr>
          <w:rFonts w:hint="eastAsia" w:ascii="宋体" w:hAnsi="宋体" w:eastAsia="宋体" w:cs="宋体"/>
          <w:b/>
          <w:color w:val="000000"/>
          <w:kern w:val="0"/>
          <w:sz w:val="21"/>
          <w:szCs w:val="21"/>
          <w:lang w:val="en-US" w:eastAsia="zh-CN" w:bidi="ar"/>
        </w:rPr>
        <w:t>3 石材工程的要求（大堂过门坎石、水吧台等）</w:t>
      </w:r>
      <w:bookmarkEnd w:id="16"/>
      <w:r>
        <w:rPr>
          <w:rFonts w:hint="eastAsia" w:ascii="宋体" w:hAnsi="宋体" w:eastAsia="宋体" w:cs="宋体"/>
          <w:b/>
          <w:color w:val="000000"/>
          <w:kern w:val="0"/>
          <w:sz w:val="21"/>
          <w:szCs w:val="21"/>
          <w:lang w:val="en-US" w:eastAsia="zh-CN" w:bidi="ar"/>
        </w:rPr>
        <w:t xml:space="preserve"> </w:t>
      </w:r>
    </w:p>
    <w:p w14:paraId="3FE07641">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1.所有石材必须做六面防水处理。 </w:t>
      </w:r>
    </w:p>
    <w:p w14:paraId="691858D7">
      <w:pPr>
        <w:keepNext w:val="0"/>
        <w:keepLines w:val="0"/>
        <w:widowControl/>
        <w:suppressLineNumbers w:val="0"/>
        <w:spacing w:line="360" w:lineRule="auto"/>
        <w:ind w:firstLine="630" w:firstLineChars="30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 xml:space="preserve">2.板材表面应平整、洁净、色泽一致，无翘曲、裂纹、砂眼、凹陷、色斑和污点，不允许有正面角棱缺陷，板材的抛光面应具有镜面光泽（磨砂面除外） </w:t>
      </w:r>
    </w:p>
    <w:p w14:paraId="7B4660FB">
      <w:pPr>
        <w:keepNext w:val="0"/>
        <w:keepLines w:val="0"/>
        <w:widowControl/>
        <w:suppressLineNumbers w:val="0"/>
        <w:spacing w:line="360" w:lineRule="auto"/>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 xml:space="preserve">板材表面严禁出现泛碱和锈斑；嵌缝应密实、平直，嵌缝材料色泽应一致，阴阳角完整、饱满、挺拔。 </w:t>
      </w:r>
    </w:p>
    <w:p w14:paraId="20C4C34B">
      <w:pPr>
        <w:keepNext w:val="0"/>
        <w:keepLines w:val="0"/>
        <w:widowControl/>
        <w:numPr>
          <w:ilvl w:val="0"/>
          <w:numId w:val="0"/>
        </w:numPr>
        <w:suppressLineNumbers w:val="0"/>
        <w:spacing w:line="360" w:lineRule="auto"/>
        <w:ind w:leftChars="0" w:firstLine="630" w:firstLineChars="300"/>
        <w:jc w:val="left"/>
        <w:rPr>
          <w:rFonts w:hint="eastAsia"/>
          <w:lang w:val="en-US" w:eastAsia="zh-CN"/>
        </w:rPr>
      </w:pPr>
      <w:r>
        <w:rPr>
          <w:rFonts w:hint="eastAsia" w:ascii="宋体" w:hAnsi="宋体" w:eastAsia="宋体" w:cs="宋体"/>
          <w:color w:val="000000"/>
          <w:kern w:val="0"/>
          <w:sz w:val="21"/>
          <w:szCs w:val="21"/>
          <w:lang w:val="en-US" w:eastAsia="zh-CN" w:bidi="ar"/>
        </w:rPr>
        <w:t xml:space="preserve">3.所有干挂及承重石材骨架必须用 40~50 镀锌角钢焊接，焊点处无焊渣，涂刷防锈漆 2 遍，表面再用锌漆覆盖。 </w:t>
      </w:r>
    </w:p>
    <w:p w14:paraId="33EEE139">
      <w:pPr>
        <w:pStyle w:val="2"/>
        <w:rPr>
          <w:rFonts w:hint="eastAsia" w:ascii="宋体" w:hAnsi="宋体" w:cs="宋体"/>
          <w:color w:val="000000"/>
          <w:kern w:val="0"/>
          <w:sz w:val="21"/>
          <w:szCs w:val="21"/>
          <w:lang w:val="en-US" w:eastAsia="zh-CN" w:bidi="ar"/>
        </w:rPr>
      </w:pPr>
    </w:p>
    <w:p w14:paraId="76348DB6">
      <w:pPr>
        <w:pStyle w:val="2"/>
        <w:rPr>
          <w:rFonts w:hint="eastAsia" w:ascii="宋体" w:hAnsi="宋体" w:cs="宋体"/>
          <w:color w:val="000000"/>
          <w:kern w:val="0"/>
          <w:sz w:val="21"/>
          <w:szCs w:val="21"/>
          <w:lang w:val="en-US" w:eastAsia="zh-CN" w:bidi="ar"/>
        </w:rPr>
      </w:pPr>
    </w:p>
    <w:p w14:paraId="4B9445BA">
      <w:pPr>
        <w:pStyle w:val="2"/>
        <w:rPr>
          <w:rFonts w:hint="eastAsia" w:ascii="宋体" w:hAnsi="宋体" w:cs="宋体"/>
          <w:color w:val="000000"/>
          <w:kern w:val="0"/>
          <w:sz w:val="21"/>
          <w:szCs w:val="21"/>
          <w:lang w:val="en-US" w:eastAsia="zh-CN" w:bidi="ar"/>
        </w:rPr>
      </w:pPr>
    </w:p>
    <w:p w14:paraId="6708E05C">
      <w:pPr>
        <w:pStyle w:val="2"/>
        <w:rPr>
          <w:rFonts w:hint="eastAsia" w:ascii="宋体" w:hAnsi="宋体" w:cs="宋体"/>
          <w:color w:val="000000"/>
          <w:kern w:val="0"/>
          <w:sz w:val="21"/>
          <w:szCs w:val="21"/>
          <w:lang w:val="en-US" w:eastAsia="zh-CN" w:bidi="ar"/>
        </w:rPr>
      </w:pPr>
    </w:p>
    <w:p w14:paraId="18198993">
      <w:pPr>
        <w:pStyle w:val="2"/>
        <w:rPr>
          <w:rFonts w:hint="eastAsia" w:ascii="宋体" w:hAnsi="宋体" w:eastAsia="宋体" w:cs="宋体"/>
          <w:b w:val="0"/>
          <w:color w:val="000000"/>
          <w:kern w:val="0"/>
          <w:sz w:val="21"/>
          <w:szCs w:val="21"/>
          <w:lang w:val="en-US" w:eastAsia="zh-CN" w:bidi="ar"/>
        </w:rPr>
      </w:pPr>
    </w:p>
    <w:p w14:paraId="46131BA0">
      <w:pPr>
        <w:pStyle w:val="2"/>
        <w:keepNext/>
        <w:keepLines/>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val="en-US" w:eastAsia="zh-CN" w:bidi="ar"/>
        </w:rPr>
        <w:t>附件：</w:t>
      </w:r>
    </w:p>
    <w:tbl>
      <w:tblPr>
        <w:tblStyle w:val="11"/>
        <w:tblpPr w:leftFromText="180" w:rightFromText="180" w:vertAnchor="text" w:horzAnchor="page" w:tblpX="1882" w:tblpY="447"/>
        <w:tblOverlap w:val="never"/>
        <w:tblW w:w="8395" w:type="dxa"/>
        <w:tblInd w:w="0" w:type="dxa"/>
        <w:shd w:val="clear" w:color="auto" w:fill="auto"/>
        <w:tblLayout w:type="fixed"/>
        <w:tblCellMar>
          <w:top w:w="0" w:type="dxa"/>
          <w:left w:w="0" w:type="dxa"/>
          <w:bottom w:w="0" w:type="dxa"/>
          <w:right w:w="0" w:type="dxa"/>
        </w:tblCellMar>
      </w:tblPr>
      <w:tblGrid>
        <w:gridCol w:w="1111"/>
        <w:gridCol w:w="2664"/>
        <w:gridCol w:w="4620"/>
      </w:tblGrid>
      <w:tr w14:paraId="3777924C">
        <w:tblPrEx>
          <w:tblCellMar>
            <w:top w:w="0" w:type="dxa"/>
            <w:left w:w="0" w:type="dxa"/>
            <w:bottom w:w="0" w:type="dxa"/>
            <w:right w:w="0" w:type="dxa"/>
          </w:tblCellMar>
        </w:tblPrEx>
        <w:trPr>
          <w:trHeight w:val="566" w:hRule="atLeast"/>
        </w:trPr>
        <w:tc>
          <w:tcPr>
            <w:tcW w:w="8395"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C51E5C8">
            <w:pPr>
              <w:keepNext w:val="0"/>
              <w:keepLines w:val="0"/>
              <w:widowControl/>
              <w:suppressLineNumbers w:val="0"/>
              <w:ind w:firstLine="2530" w:firstLineChars="900"/>
              <w:jc w:val="left"/>
              <w:textAlignment w:val="center"/>
              <w:rPr>
                <w:rFonts w:ascii="黑体" w:hAnsi="宋体" w:eastAsia="黑体" w:cs="黑体"/>
                <w:b/>
                <w:i w:val="0"/>
                <w:color w:val="000000"/>
                <w:sz w:val="20"/>
                <w:szCs w:val="20"/>
                <w:u w:val="none"/>
              </w:rPr>
            </w:pPr>
            <w:r>
              <w:rPr>
                <w:rFonts w:hint="eastAsia" w:ascii="宋体" w:hAnsi="宋体" w:eastAsia="宋体" w:cs="宋体"/>
                <w:b/>
                <w:bCs/>
                <w:kern w:val="0"/>
                <w:sz w:val="28"/>
                <w:szCs w:val="28"/>
                <w:lang w:val="en-US" w:eastAsia="zh-CN"/>
              </w:rPr>
              <w:t>装饰材料限定品牌范围表</w:t>
            </w:r>
          </w:p>
        </w:tc>
      </w:tr>
      <w:tr w14:paraId="7E436BE3">
        <w:tblPrEx>
          <w:tblCellMar>
            <w:top w:w="0" w:type="dxa"/>
            <w:left w:w="0" w:type="dxa"/>
            <w:bottom w:w="0" w:type="dxa"/>
            <w:right w:w="0" w:type="dxa"/>
          </w:tblCellMar>
        </w:tblPrEx>
        <w:trPr>
          <w:trHeight w:val="537" w:hRule="atLeast"/>
        </w:trPr>
        <w:tc>
          <w:tcPr>
            <w:tcW w:w="111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F6E7EE">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2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5CFFA69">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材料名称</w:t>
            </w:r>
          </w:p>
        </w:tc>
        <w:tc>
          <w:tcPr>
            <w:tcW w:w="462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F84870A">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bCs/>
                <w:kern w:val="0"/>
                <w:sz w:val="21"/>
                <w:szCs w:val="21"/>
              </w:rPr>
              <w:t>材料设备品牌等要求</w:t>
            </w:r>
          </w:p>
        </w:tc>
      </w:tr>
      <w:tr w14:paraId="2FDDCF37">
        <w:tblPrEx>
          <w:tblCellMar>
            <w:top w:w="0" w:type="dxa"/>
            <w:left w:w="0" w:type="dxa"/>
            <w:bottom w:w="0" w:type="dxa"/>
            <w:right w:w="0" w:type="dxa"/>
          </w:tblCellMar>
        </w:tblPrEx>
        <w:trPr>
          <w:trHeight w:val="459" w:hRule="atLeast"/>
        </w:trPr>
        <w:tc>
          <w:tcPr>
            <w:tcW w:w="111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D502017">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w:t>
            </w:r>
          </w:p>
        </w:tc>
        <w:tc>
          <w:tcPr>
            <w:tcW w:w="2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0CF82D">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石材</w:t>
            </w:r>
          </w:p>
        </w:tc>
        <w:tc>
          <w:tcPr>
            <w:tcW w:w="462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0C7D760">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国优，提供不少于三个品牌供甲方选择　</w:t>
            </w:r>
          </w:p>
        </w:tc>
      </w:tr>
      <w:tr w14:paraId="03A0C089">
        <w:tblPrEx>
          <w:shd w:val="clear" w:color="auto" w:fill="auto"/>
          <w:tblCellMar>
            <w:top w:w="0" w:type="dxa"/>
            <w:left w:w="0" w:type="dxa"/>
            <w:bottom w:w="0" w:type="dxa"/>
            <w:right w:w="0" w:type="dxa"/>
          </w:tblCellMar>
        </w:tblPrEx>
        <w:trPr>
          <w:trHeight w:val="459" w:hRule="atLeast"/>
        </w:trPr>
        <w:tc>
          <w:tcPr>
            <w:tcW w:w="111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74A2CA7">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w:t>
            </w:r>
          </w:p>
        </w:tc>
        <w:tc>
          <w:tcPr>
            <w:tcW w:w="2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95B65C">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人造石</w:t>
            </w:r>
          </w:p>
        </w:tc>
        <w:tc>
          <w:tcPr>
            <w:tcW w:w="462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3677EDA">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国优，提供不少于三个品牌供甲方选择　</w:t>
            </w:r>
          </w:p>
        </w:tc>
      </w:tr>
      <w:tr w14:paraId="5DED9229">
        <w:tblPrEx>
          <w:shd w:val="clear" w:color="auto" w:fill="auto"/>
          <w:tblCellMar>
            <w:top w:w="0" w:type="dxa"/>
            <w:left w:w="0" w:type="dxa"/>
            <w:bottom w:w="0" w:type="dxa"/>
            <w:right w:w="0" w:type="dxa"/>
          </w:tblCellMar>
        </w:tblPrEx>
        <w:trPr>
          <w:trHeight w:val="459" w:hRule="atLeast"/>
        </w:trPr>
        <w:tc>
          <w:tcPr>
            <w:tcW w:w="111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A03FDB1">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3</w:t>
            </w:r>
          </w:p>
        </w:tc>
        <w:tc>
          <w:tcPr>
            <w:tcW w:w="2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A1E2A5">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瓷砖、岩板（如有用到）</w:t>
            </w:r>
          </w:p>
        </w:tc>
        <w:tc>
          <w:tcPr>
            <w:tcW w:w="462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B18B78E">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东鹏、特地、冠珠</w:t>
            </w:r>
          </w:p>
        </w:tc>
      </w:tr>
      <w:tr w14:paraId="2AEB278B">
        <w:tblPrEx>
          <w:shd w:val="clear" w:color="auto" w:fill="auto"/>
          <w:tblCellMar>
            <w:top w:w="0" w:type="dxa"/>
            <w:left w:w="0" w:type="dxa"/>
            <w:bottom w:w="0" w:type="dxa"/>
            <w:right w:w="0" w:type="dxa"/>
          </w:tblCellMar>
        </w:tblPrEx>
        <w:trPr>
          <w:trHeight w:val="939" w:hRule="atLeast"/>
        </w:trPr>
        <w:tc>
          <w:tcPr>
            <w:tcW w:w="111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42EAE80">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4</w:t>
            </w:r>
          </w:p>
        </w:tc>
        <w:tc>
          <w:tcPr>
            <w:tcW w:w="2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FE00EF2">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板材（含木工板、多层板、免漆板、刨花板等）</w:t>
            </w:r>
          </w:p>
        </w:tc>
        <w:tc>
          <w:tcPr>
            <w:tcW w:w="462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C19A94A">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千年舟、莫干山、兔宝宝、皇冠</w:t>
            </w:r>
          </w:p>
        </w:tc>
      </w:tr>
      <w:tr w14:paraId="3F30A66A">
        <w:tblPrEx>
          <w:tblCellMar>
            <w:top w:w="0" w:type="dxa"/>
            <w:left w:w="0" w:type="dxa"/>
            <w:bottom w:w="0" w:type="dxa"/>
            <w:right w:w="0" w:type="dxa"/>
          </w:tblCellMar>
        </w:tblPrEx>
        <w:trPr>
          <w:trHeight w:val="501" w:hRule="atLeast"/>
        </w:trPr>
        <w:tc>
          <w:tcPr>
            <w:tcW w:w="11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AAFD16">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5</w:t>
            </w:r>
          </w:p>
        </w:tc>
        <w:tc>
          <w:tcPr>
            <w:tcW w:w="266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231ED784">
            <w:pPr>
              <w:widowControl/>
              <w:spacing w:line="400" w:lineRule="exact"/>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电线电缆</w:t>
            </w:r>
          </w:p>
        </w:tc>
        <w:tc>
          <w:tcPr>
            <w:tcW w:w="462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0E90FA07">
            <w:pPr>
              <w:widowControl/>
              <w:spacing w:line="400" w:lineRule="exact"/>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广州南洋电缆有限公司/南牌、深圳金龙羽电缆公司/金龙羽</w:t>
            </w:r>
          </w:p>
        </w:tc>
      </w:tr>
      <w:tr w14:paraId="6817EBC2">
        <w:tblPrEx>
          <w:shd w:val="clear" w:color="auto" w:fill="auto"/>
          <w:tblCellMar>
            <w:top w:w="0" w:type="dxa"/>
            <w:left w:w="0" w:type="dxa"/>
            <w:bottom w:w="0" w:type="dxa"/>
            <w:right w:w="0" w:type="dxa"/>
          </w:tblCellMar>
        </w:tblPrEx>
        <w:trPr>
          <w:trHeight w:val="501" w:hRule="atLeast"/>
        </w:trPr>
        <w:tc>
          <w:tcPr>
            <w:tcW w:w="11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DAC1D">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6</w:t>
            </w:r>
          </w:p>
        </w:tc>
        <w:tc>
          <w:tcPr>
            <w:tcW w:w="266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32F40B86">
            <w:pPr>
              <w:widowControl/>
              <w:spacing w:line="400" w:lineRule="exact"/>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弱电线缆增加品牌（厂家）</w:t>
            </w:r>
          </w:p>
        </w:tc>
        <w:tc>
          <w:tcPr>
            <w:tcW w:w="462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7BDB8609">
            <w:pPr>
              <w:widowControl/>
              <w:spacing w:line="400" w:lineRule="exact"/>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深圳市联嘉祥科技股份有限公司/联嘉祥牌、天诚线缆集团/天诚牌、深圳市凌宇电线电缆实业有限公司（广州凌宇网络线缆有限公司）/凌宇牌</w:t>
            </w:r>
          </w:p>
        </w:tc>
      </w:tr>
      <w:tr w14:paraId="0FC45E51">
        <w:tblPrEx>
          <w:shd w:val="clear" w:color="auto" w:fill="auto"/>
          <w:tblCellMar>
            <w:top w:w="0" w:type="dxa"/>
            <w:left w:w="0" w:type="dxa"/>
            <w:bottom w:w="0" w:type="dxa"/>
            <w:right w:w="0" w:type="dxa"/>
          </w:tblCellMar>
        </w:tblPrEx>
        <w:trPr>
          <w:trHeight w:val="501" w:hRule="atLeast"/>
        </w:trPr>
        <w:tc>
          <w:tcPr>
            <w:tcW w:w="11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6B737F">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7</w:t>
            </w:r>
          </w:p>
        </w:tc>
        <w:tc>
          <w:tcPr>
            <w:tcW w:w="266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0879FB63">
            <w:pPr>
              <w:widowControl/>
              <w:spacing w:line="400" w:lineRule="exact"/>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综合布线产品</w:t>
            </w:r>
          </w:p>
        </w:tc>
        <w:tc>
          <w:tcPr>
            <w:tcW w:w="462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48FBDFFC">
            <w:pPr>
              <w:widowControl/>
              <w:spacing w:line="400" w:lineRule="exact"/>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TCL罗格朗、清华同方、南京普天</w:t>
            </w:r>
          </w:p>
        </w:tc>
      </w:tr>
      <w:tr w14:paraId="3F1F35B2">
        <w:tblPrEx>
          <w:tblCellMar>
            <w:top w:w="0" w:type="dxa"/>
            <w:left w:w="0" w:type="dxa"/>
            <w:bottom w:w="0" w:type="dxa"/>
            <w:right w:w="0" w:type="dxa"/>
          </w:tblCellMar>
        </w:tblPrEx>
        <w:trPr>
          <w:trHeight w:val="501" w:hRule="atLeast"/>
        </w:trPr>
        <w:tc>
          <w:tcPr>
            <w:tcW w:w="11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69924">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8</w:t>
            </w:r>
          </w:p>
        </w:tc>
        <w:tc>
          <w:tcPr>
            <w:tcW w:w="266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51C94561">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水泥</w:t>
            </w:r>
          </w:p>
        </w:tc>
        <w:tc>
          <w:tcPr>
            <w:tcW w:w="462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051952C0">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华润、海螺</w:t>
            </w:r>
          </w:p>
        </w:tc>
      </w:tr>
      <w:tr w14:paraId="5BA19862">
        <w:tblPrEx>
          <w:shd w:val="clear" w:color="auto" w:fill="auto"/>
          <w:tblCellMar>
            <w:top w:w="0" w:type="dxa"/>
            <w:left w:w="0" w:type="dxa"/>
            <w:bottom w:w="0" w:type="dxa"/>
            <w:right w:w="0" w:type="dxa"/>
          </w:tblCellMar>
        </w:tblPrEx>
        <w:trPr>
          <w:trHeight w:val="501" w:hRule="atLeast"/>
        </w:trPr>
        <w:tc>
          <w:tcPr>
            <w:tcW w:w="11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E20B25">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9</w:t>
            </w:r>
          </w:p>
        </w:tc>
        <w:tc>
          <w:tcPr>
            <w:tcW w:w="266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11C257EE">
            <w:pPr>
              <w:widowControl/>
              <w:spacing w:line="400" w:lineRule="exact"/>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瓷砖胶</w:t>
            </w:r>
          </w:p>
        </w:tc>
        <w:tc>
          <w:tcPr>
            <w:tcW w:w="462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top"/>
          </w:tcPr>
          <w:p w14:paraId="4FF5177C">
            <w:pPr>
              <w:widowControl/>
              <w:spacing w:line="4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德高、立邦</w:t>
            </w:r>
          </w:p>
        </w:tc>
      </w:tr>
      <w:tr w14:paraId="4877BC37">
        <w:tblPrEx>
          <w:shd w:val="clear" w:color="auto" w:fill="auto"/>
          <w:tblCellMar>
            <w:top w:w="0" w:type="dxa"/>
            <w:left w:w="0" w:type="dxa"/>
            <w:bottom w:w="0" w:type="dxa"/>
            <w:right w:w="0" w:type="dxa"/>
          </w:tblCellMar>
        </w:tblPrEx>
        <w:trPr>
          <w:trHeight w:val="501" w:hRule="atLeast"/>
        </w:trPr>
        <w:tc>
          <w:tcPr>
            <w:tcW w:w="11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E56CA">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10</w:t>
            </w:r>
          </w:p>
        </w:tc>
        <w:tc>
          <w:tcPr>
            <w:tcW w:w="2664"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14:paraId="7A586312">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轻钢龙骨</w:t>
            </w:r>
          </w:p>
        </w:tc>
        <w:tc>
          <w:tcPr>
            <w:tcW w:w="462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14:paraId="5CA633C6">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北新龙牌、杰森、泰山、可耐福</w:t>
            </w:r>
          </w:p>
        </w:tc>
      </w:tr>
      <w:tr w14:paraId="17A04717">
        <w:tblPrEx>
          <w:shd w:val="clear" w:color="auto" w:fill="auto"/>
          <w:tblCellMar>
            <w:top w:w="0" w:type="dxa"/>
            <w:left w:w="0" w:type="dxa"/>
            <w:bottom w:w="0" w:type="dxa"/>
            <w:right w:w="0" w:type="dxa"/>
          </w:tblCellMar>
        </w:tblPrEx>
        <w:trPr>
          <w:trHeight w:val="579"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4D833">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11</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F4C15D1">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纸面石膏板（含防水纸面石膏板）</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8F7E2BD">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北新龙牌、杰森、泰山、可耐福</w:t>
            </w:r>
          </w:p>
        </w:tc>
      </w:tr>
      <w:tr w14:paraId="3DA5CFB5">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7A9A8D">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12</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ADFF856">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阻燃板</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7A1FD4">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千年舟、莫干山、兔宝宝、皇冠</w:t>
            </w:r>
          </w:p>
        </w:tc>
      </w:tr>
      <w:tr w14:paraId="22B67991">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2780B0">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13</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CB18536">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内墙乳胶漆</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0D689FD">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多乐士、华润、立邦</w:t>
            </w:r>
          </w:p>
        </w:tc>
      </w:tr>
      <w:tr w14:paraId="48850856">
        <w:tblPrEx>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A22BA">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14</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2B54ACF">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防水涂料</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EE085F">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科顺、东方雨虹、宏源、凯伦</w:t>
            </w:r>
          </w:p>
        </w:tc>
      </w:tr>
      <w:tr w14:paraId="7ABA46CC">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A92BB">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15</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87AED6D">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铝板天花</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5163906">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乐思龙、至高、欧陆、金霸</w:t>
            </w:r>
          </w:p>
        </w:tc>
      </w:tr>
      <w:tr w14:paraId="5F606BA7">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7D8A0">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16</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6CCB13E">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地坪漆</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0D06960">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多乐士、耐迪、秀珀、立邦</w:t>
            </w:r>
          </w:p>
        </w:tc>
      </w:tr>
      <w:tr w14:paraId="427B20FB">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4354E">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17</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5583792">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玻璃</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5454EC2">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南玻、信义、耀皮、中航特玻、格兰特</w:t>
            </w:r>
          </w:p>
        </w:tc>
      </w:tr>
      <w:tr w14:paraId="6B7B7385">
        <w:tblPrEx>
          <w:shd w:val="clear" w:color="auto" w:fill="auto"/>
          <w:tblCellMar>
            <w:top w:w="0" w:type="dxa"/>
            <w:left w:w="0" w:type="dxa"/>
            <w:bottom w:w="0" w:type="dxa"/>
            <w:right w:w="0" w:type="dxa"/>
          </w:tblCellMar>
        </w:tblPrEx>
        <w:trPr>
          <w:trHeight w:val="999"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FA921">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18</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E6C2E1">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五金件（含门锁、铰链、门吸、不锈钢拉手、柜子五金等）</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4F6199A">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坚朗、东泰、悍高</w:t>
            </w:r>
          </w:p>
        </w:tc>
      </w:tr>
      <w:tr w14:paraId="43EB96E3">
        <w:tblPrEx>
          <w:shd w:val="clear" w:color="auto" w:fill="auto"/>
          <w:tblCellMar>
            <w:top w:w="0" w:type="dxa"/>
            <w:left w:w="0" w:type="dxa"/>
            <w:bottom w:w="0" w:type="dxa"/>
            <w:right w:w="0" w:type="dxa"/>
          </w:tblCellMar>
        </w:tblPrEx>
        <w:trPr>
          <w:trHeight w:val="540"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C4AFC">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19</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C485D45">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PPR给水管及UPVC排水管、PVC电线管</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E3D8B1D">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永高、日丰、皇冠、伟星、中财</w:t>
            </w:r>
          </w:p>
        </w:tc>
      </w:tr>
      <w:tr w14:paraId="501A5344">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C3C486">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20</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A631AC4">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洗手盆、洗涤盆、洁具五金</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7696079">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东鹏、箭牌、九牧</w:t>
            </w:r>
          </w:p>
        </w:tc>
      </w:tr>
      <w:tr w14:paraId="375EFA5A">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FC24E">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21</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76D6FB7">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灯具</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0DC8145">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三雄极光、雷士、佛山照明</w:t>
            </w:r>
          </w:p>
        </w:tc>
      </w:tr>
      <w:tr w14:paraId="7118BF1D">
        <w:tblPrEx>
          <w:tblCellMar>
            <w:top w:w="0" w:type="dxa"/>
            <w:left w:w="0" w:type="dxa"/>
            <w:bottom w:w="0" w:type="dxa"/>
            <w:right w:w="0" w:type="dxa"/>
          </w:tblCellMar>
        </w:tblPrEx>
        <w:trPr>
          <w:trHeight w:val="501" w:hRule="atLeast"/>
        </w:trPr>
        <w:tc>
          <w:tcPr>
            <w:tcW w:w="111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14F86B">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22</w:t>
            </w:r>
          </w:p>
        </w:tc>
        <w:tc>
          <w:tcPr>
            <w:tcW w:w="266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8E551F0">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开关、插座</w:t>
            </w:r>
          </w:p>
        </w:tc>
        <w:tc>
          <w:tcPr>
            <w:tcW w:w="46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6215667">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三雄极光、雷士、佛山照明</w:t>
            </w:r>
          </w:p>
        </w:tc>
      </w:tr>
      <w:tr w14:paraId="6ADE82ED">
        <w:tblPrEx>
          <w:shd w:val="clear" w:color="auto" w:fill="auto"/>
          <w:tblCellMar>
            <w:top w:w="0" w:type="dxa"/>
            <w:left w:w="0" w:type="dxa"/>
            <w:bottom w:w="0" w:type="dxa"/>
            <w:right w:w="0" w:type="dxa"/>
          </w:tblCellMar>
        </w:tblPrEx>
        <w:trPr>
          <w:trHeight w:val="501" w:hRule="atLeast"/>
        </w:trPr>
        <w:tc>
          <w:tcPr>
            <w:tcW w:w="1111" w:type="dxa"/>
            <w:tcBorders>
              <w:top w:val="nil"/>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60D2279B">
            <w:pPr>
              <w:keepNext w:val="0"/>
              <w:keepLines w:val="0"/>
              <w:widowControl/>
              <w:suppressLineNumbers w:val="0"/>
              <w:jc w:val="center"/>
              <w:textAlignment w:val="center"/>
              <w:rPr>
                <w:rFonts w:hint="default" w:ascii="宋体" w:hAnsi="宋体" w:eastAsia="宋体" w:cs="宋体"/>
                <w:b/>
                <w:i w:val="0"/>
                <w:color w:val="000000"/>
                <w:sz w:val="21"/>
                <w:szCs w:val="21"/>
                <w:u w:val="none"/>
                <w:lang w:val="en-US"/>
              </w:rPr>
            </w:pPr>
            <w:r>
              <w:rPr>
                <w:rFonts w:hint="eastAsia" w:ascii="宋体" w:hAnsi="宋体" w:eastAsia="宋体" w:cs="宋体"/>
                <w:b/>
                <w:i w:val="0"/>
                <w:color w:val="000000"/>
                <w:kern w:val="0"/>
                <w:sz w:val="21"/>
                <w:szCs w:val="21"/>
                <w:u w:val="none"/>
                <w:lang w:val="en-US" w:eastAsia="zh-CN" w:bidi="ar"/>
              </w:rPr>
              <w:t>23</w:t>
            </w:r>
          </w:p>
        </w:tc>
        <w:tc>
          <w:tcPr>
            <w:tcW w:w="2664"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14:paraId="42A15ACB">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排风扇</w:t>
            </w:r>
          </w:p>
        </w:tc>
        <w:tc>
          <w:tcPr>
            <w:tcW w:w="462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14:paraId="1117EF32">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绿岛风、艾美特</w:t>
            </w:r>
          </w:p>
        </w:tc>
      </w:tr>
      <w:tr w14:paraId="79D74ACC">
        <w:tblPrEx>
          <w:shd w:val="clear" w:color="auto" w:fill="auto"/>
          <w:tblCellMar>
            <w:top w:w="0" w:type="dxa"/>
            <w:left w:w="0" w:type="dxa"/>
            <w:bottom w:w="0" w:type="dxa"/>
            <w:right w:w="0" w:type="dxa"/>
          </w:tblCellMar>
        </w:tblPrEx>
        <w:trPr>
          <w:trHeight w:val="879" w:hRule="atLeast"/>
        </w:trPr>
        <w:tc>
          <w:tcPr>
            <w:tcW w:w="111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6A70DE0C">
            <w:pPr>
              <w:widowControl/>
              <w:spacing w:line="400" w:lineRule="exact"/>
              <w:jc w:val="center"/>
              <w:rPr>
                <w:rFonts w:hint="eastAsia" w:ascii="宋体" w:hAnsi="宋体" w:eastAsia="宋体" w:cs="宋体"/>
                <w:b/>
                <w:bCs/>
                <w:kern w:val="0"/>
                <w:sz w:val="21"/>
                <w:szCs w:val="21"/>
              </w:rPr>
            </w:pPr>
          </w:p>
          <w:p w14:paraId="09EE9AC8">
            <w:pPr>
              <w:widowControl/>
              <w:spacing w:line="40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其他</w:t>
            </w:r>
          </w:p>
          <w:p w14:paraId="761DB5DD">
            <w:pPr>
              <w:widowControl/>
              <w:spacing w:line="400" w:lineRule="exact"/>
              <w:jc w:val="center"/>
              <w:rPr>
                <w:rFonts w:hint="eastAsia" w:ascii="宋体" w:hAnsi="宋体" w:eastAsia="宋体" w:cs="宋体"/>
                <w:b/>
                <w:bCs/>
                <w:kern w:val="0"/>
                <w:sz w:val="21"/>
                <w:szCs w:val="21"/>
              </w:rPr>
            </w:pPr>
          </w:p>
          <w:p w14:paraId="36CC8846">
            <w:pPr>
              <w:spacing w:line="400" w:lineRule="exact"/>
              <w:jc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bCs/>
                <w:kern w:val="0"/>
                <w:sz w:val="21"/>
                <w:szCs w:val="21"/>
              </w:rPr>
              <w:t>说明</w:t>
            </w:r>
          </w:p>
        </w:tc>
        <w:tc>
          <w:tcPr>
            <w:tcW w:w="7284"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5E89E821">
            <w:pPr>
              <w:widowControl/>
              <w:spacing w:line="400" w:lineRule="exact"/>
              <w:ind w:firstLine="210" w:firstLineChars="100"/>
              <w:jc w:val="left"/>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1、对乙供材料除品牌/厂家符合上述要求外，在材料设备规格/型号、款式、颜色及技术参数、性能等方面还必须符合设计和合同要求。</w:t>
            </w:r>
          </w:p>
        </w:tc>
      </w:tr>
      <w:tr w14:paraId="21C94AB1">
        <w:tblPrEx>
          <w:shd w:val="clear" w:color="auto" w:fill="auto"/>
          <w:tblCellMar>
            <w:top w:w="0" w:type="dxa"/>
            <w:left w:w="0" w:type="dxa"/>
            <w:bottom w:w="0" w:type="dxa"/>
            <w:right w:w="0" w:type="dxa"/>
          </w:tblCellMar>
        </w:tblPrEx>
        <w:trPr>
          <w:trHeight w:val="501" w:hRule="atLeast"/>
        </w:trPr>
        <w:tc>
          <w:tcPr>
            <w:tcW w:w="11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49180F7A">
            <w:pPr>
              <w:spacing w:line="400" w:lineRule="exact"/>
              <w:rPr>
                <w:rFonts w:hint="eastAsia" w:ascii="宋体" w:hAnsi="宋体" w:eastAsia="宋体" w:cs="宋体"/>
                <w:b/>
                <w:i w:val="0"/>
                <w:color w:val="000000"/>
                <w:kern w:val="0"/>
                <w:sz w:val="21"/>
                <w:szCs w:val="21"/>
                <w:u w:val="none"/>
                <w:lang w:val="en-US" w:eastAsia="zh-CN" w:bidi="ar"/>
              </w:rPr>
            </w:pPr>
          </w:p>
        </w:tc>
        <w:tc>
          <w:tcPr>
            <w:tcW w:w="7284"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3E23B45E">
            <w:pPr>
              <w:spacing w:line="400" w:lineRule="exact"/>
              <w:ind w:firstLine="210" w:firstLineChars="100"/>
              <w:jc w:val="left"/>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材料品牌</w:t>
            </w:r>
            <w:r>
              <w:rPr>
                <w:rFonts w:hint="eastAsia" w:ascii="宋体" w:hAnsi="宋体" w:eastAsia="宋体" w:cs="宋体"/>
                <w:kern w:val="0"/>
                <w:sz w:val="21"/>
                <w:szCs w:val="21"/>
              </w:rPr>
              <w:t>未经甲方书面</w:t>
            </w:r>
            <w:r>
              <w:rPr>
                <w:rFonts w:hint="eastAsia" w:ascii="宋体" w:hAnsi="宋体" w:eastAsia="宋体" w:cs="宋体"/>
                <w:kern w:val="0"/>
                <w:sz w:val="21"/>
                <w:szCs w:val="21"/>
                <w:lang w:val="en-US" w:eastAsia="zh-CN"/>
              </w:rPr>
              <w:t>确认</w:t>
            </w:r>
            <w:r>
              <w:rPr>
                <w:rFonts w:hint="eastAsia" w:ascii="宋体" w:hAnsi="宋体" w:eastAsia="宋体" w:cs="宋体"/>
                <w:kern w:val="0"/>
                <w:sz w:val="21"/>
                <w:szCs w:val="21"/>
              </w:rPr>
              <w:t>不允许替换。</w:t>
            </w:r>
          </w:p>
        </w:tc>
      </w:tr>
      <w:tr w14:paraId="35EAF223">
        <w:tblPrEx>
          <w:shd w:val="clear" w:color="auto" w:fill="auto"/>
          <w:tblCellMar>
            <w:top w:w="0" w:type="dxa"/>
            <w:left w:w="0" w:type="dxa"/>
            <w:bottom w:w="0" w:type="dxa"/>
            <w:right w:w="0" w:type="dxa"/>
          </w:tblCellMar>
        </w:tblPrEx>
        <w:trPr>
          <w:trHeight w:val="501" w:hRule="atLeast"/>
        </w:trPr>
        <w:tc>
          <w:tcPr>
            <w:tcW w:w="111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79256919">
            <w:pPr>
              <w:widowControl/>
              <w:spacing w:line="400" w:lineRule="exact"/>
              <w:jc w:val="left"/>
              <w:rPr>
                <w:rFonts w:hint="eastAsia" w:ascii="宋体" w:hAnsi="宋体" w:eastAsia="宋体" w:cs="宋体"/>
                <w:b/>
                <w:i w:val="0"/>
                <w:color w:val="000000"/>
                <w:kern w:val="0"/>
                <w:sz w:val="21"/>
                <w:szCs w:val="21"/>
                <w:u w:val="none"/>
                <w:lang w:val="en-US" w:eastAsia="zh-CN" w:bidi="ar"/>
              </w:rPr>
            </w:pPr>
          </w:p>
        </w:tc>
        <w:tc>
          <w:tcPr>
            <w:tcW w:w="7284"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14:paraId="73512178">
            <w:pPr>
              <w:widowControl/>
              <w:spacing w:line="400" w:lineRule="exact"/>
              <w:ind w:firstLine="210" w:firstLineChars="100"/>
              <w:jc w:val="left"/>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kern w:val="0"/>
                <w:sz w:val="21"/>
                <w:szCs w:val="21"/>
              </w:rPr>
              <w:t>3、所有材料均要符合国家、行业、地方相关技术要求以及消防、环保要求。</w:t>
            </w:r>
          </w:p>
        </w:tc>
      </w:tr>
    </w:tbl>
    <w:p w14:paraId="74C82ACE">
      <w:pPr>
        <w:pStyle w:val="2"/>
        <w:rPr>
          <w:rFonts w:hint="eastAsia"/>
          <w:lang w:val="en-US" w:eastAsia="zh-CN"/>
        </w:rPr>
      </w:pPr>
    </w:p>
    <w:p w14:paraId="1EA7F653">
      <w:pPr>
        <w:pStyle w:val="2"/>
        <w:rPr>
          <w:rFonts w:hint="eastAsia"/>
          <w:lang w:val="en-US" w:eastAsia="zh-CN"/>
        </w:rPr>
      </w:pPr>
    </w:p>
    <w:p w14:paraId="050D9FED">
      <w:pPr>
        <w:pStyle w:val="2"/>
        <w:outlineLvl w:val="9"/>
        <w:rPr>
          <w:rFonts w:hint="eastAsia" w:ascii="宋体" w:hAnsi="宋体" w:eastAsia="宋体" w:cs="宋体"/>
          <w:color w:val="000000"/>
          <w:kern w:val="0"/>
          <w:sz w:val="21"/>
          <w:szCs w:val="21"/>
          <w:lang w:val="en-US" w:eastAsia="zh-CN" w:bidi="ar"/>
        </w:rPr>
      </w:pPr>
    </w:p>
    <w:p w14:paraId="71F2ADCC">
      <w:pPr>
        <w:rPr>
          <w:rFonts w:hint="eastAsia" w:ascii="宋体" w:hAnsi="宋体" w:eastAsia="宋体" w:cs="宋体"/>
          <w:color w:val="000000"/>
          <w:kern w:val="0"/>
          <w:sz w:val="21"/>
          <w:szCs w:val="21"/>
          <w:lang w:val="en-US" w:eastAsia="zh-CN" w:bidi="ar"/>
        </w:rPr>
      </w:pPr>
    </w:p>
    <w:p w14:paraId="7648F02B">
      <w:pPr>
        <w:pStyle w:val="2"/>
        <w:outlineLvl w:val="9"/>
        <w:rPr>
          <w:rFonts w:hint="eastAsia" w:ascii="宋体" w:hAnsi="宋体" w:eastAsia="宋体" w:cs="宋体"/>
          <w:color w:val="000000"/>
          <w:kern w:val="0"/>
          <w:sz w:val="21"/>
          <w:szCs w:val="21"/>
          <w:lang w:val="en-US" w:eastAsia="zh-CN" w:bidi="ar"/>
        </w:rPr>
      </w:pPr>
    </w:p>
    <w:p w14:paraId="56367F41">
      <w:pPr>
        <w:rPr>
          <w:rFonts w:hint="eastAsia" w:ascii="宋体" w:hAnsi="宋体" w:eastAsia="宋体" w:cs="宋体"/>
          <w:color w:val="000000"/>
          <w:kern w:val="0"/>
          <w:sz w:val="21"/>
          <w:szCs w:val="21"/>
          <w:lang w:val="en-US" w:eastAsia="zh-CN" w:bidi="ar"/>
        </w:rPr>
      </w:pPr>
    </w:p>
    <w:p w14:paraId="582BF1A0">
      <w:pPr>
        <w:pStyle w:val="2"/>
        <w:outlineLvl w:val="9"/>
        <w:rPr>
          <w:rFonts w:hint="eastAsia" w:ascii="宋体" w:hAnsi="宋体" w:eastAsia="宋体" w:cs="宋体"/>
          <w:color w:val="000000"/>
          <w:kern w:val="0"/>
          <w:sz w:val="21"/>
          <w:szCs w:val="21"/>
          <w:lang w:val="en-US" w:eastAsia="zh-CN" w:bidi="ar"/>
        </w:rPr>
      </w:pPr>
    </w:p>
    <w:p w14:paraId="508CE61E">
      <w:pPr>
        <w:rPr>
          <w:rFonts w:hint="eastAsia" w:ascii="宋体" w:hAnsi="宋体" w:eastAsia="宋体" w:cs="宋体"/>
          <w:color w:val="000000"/>
          <w:kern w:val="0"/>
          <w:sz w:val="21"/>
          <w:szCs w:val="21"/>
          <w:lang w:val="en-US" w:eastAsia="zh-CN" w:bidi="ar"/>
        </w:rPr>
      </w:pPr>
    </w:p>
    <w:p w14:paraId="2A9A8255">
      <w:pPr>
        <w:pStyle w:val="2"/>
        <w:outlineLvl w:val="9"/>
        <w:rPr>
          <w:rFonts w:hint="eastAsia" w:ascii="宋体" w:hAnsi="宋体" w:eastAsia="宋体" w:cs="宋体"/>
          <w:color w:val="000000"/>
          <w:kern w:val="0"/>
          <w:sz w:val="21"/>
          <w:szCs w:val="21"/>
          <w:lang w:val="en-US" w:eastAsia="zh-CN" w:bidi="ar"/>
        </w:rPr>
      </w:pPr>
    </w:p>
    <w:p w14:paraId="2B91FA41">
      <w:pPr>
        <w:rPr>
          <w:rFonts w:hint="eastAsia" w:ascii="宋体" w:hAnsi="宋体" w:eastAsia="宋体" w:cs="宋体"/>
          <w:color w:val="000000"/>
          <w:kern w:val="0"/>
          <w:sz w:val="21"/>
          <w:szCs w:val="21"/>
          <w:lang w:val="en-US" w:eastAsia="zh-CN" w:bidi="ar"/>
        </w:rPr>
      </w:pPr>
    </w:p>
    <w:p w14:paraId="744724A1">
      <w:pPr>
        <w:rPr>
          <w:rFonts w:hint="eastAsia"/>
          <w:lang w:val="en-US" w:eastAsia="zh-CN"/>
        </w:rPr>
      </w:pPr>
    </w:p>
    <w:p w14:paraId="38E068A6">
      <w:pPr>
        <w:pStyle w:val="2"/>
        <w:numPr>
          <w:ilvl w:val="0"/>
          <w:numId w:val="0"/>
        </w:numPr>
        <w:ind w:leftChars="0"/>
        <w:outlineLvl w:val="9"/>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28F05">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B561A">
                          <w:pPr>
                            <w:pStyle w:val="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ABB561A">
                    <w:pPr>
                      <w:pStyle w:val="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92FFE">
    <w:pPr>
      <w:pStyle w:val="8"/>
      <w:pBdr>
        <w:bottom w:val="single" w:color="auto" w:sz="4" w:space="1"/>
      </w:pBdr>
      <w:jc w:val="left"/>
      <w:rPr>
        <w:rFonts w:hint="default"/>
        <w:lang w:val="en-US" w:eastAsia="zh-CN"/>
      </w:rPr>
    </w:pPr>
    <w:r>
      <w:rPr>
        <w:rFonts w:hint="eastAsia" w:asciiTheme="minorEastAsia" w:hAnsiTheme="minorEastAsia" w:cstheme="minorEastAsia"/>
        <w:sz w:val="21"/>
        <w:szCs w:val="21"/>
      </w:rPr>
      <w:t xml:space="preserve">深圳龙电华鑫控股集团股份有限公司  </w:t>
    </w:r>
    <w:r>
      <w:rPr>
        <w:rFonts w:hint="eastAsia" w:ascii="楷体" w:hAnsi="楷体" w:eastAsia="楷体"/>
      </w:rPr>
      <w:t xml:space="preserve">                         </w:t>
    </w:r>
    <w:r>
      <w:rPr>
        <w:rFonts w:hint="eastAsia" w:ascii="楷体" w:hAnsi="楷体" w:eastAsia="楷体"/>
        <w:lang w:val="en-US" w:eastAsia="zh-CN"/>
      </w:rPr>
      <w:t xml:space="preserve">               </w:t>
    </w:r>
    <w:r>
      <w:rPr>
        <w:rFonts w:hint="eastAsia" w:asciiTheme="minorEastAsia" w:hAnsiTheme="minorEastAsia" w:cstheme="minorEastAsia"/>
        <w:sz w:val="21"/>
        <w:szCs w:val="21"/>
      </w:rPr>
      <w:t>招标文件</w:t>
    </w:r>
  </w:p>
  <w:p w14:paraId="4D940831">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854E58"/>
    <w:multiLevelType w:val="singleLevel"/>
    <w:tmpl w:val="8A854E58"/>
    <w:lvl w:ilvl="0" w:tentative="0">
      <w:start w:val="1"/>
      <w:numFmt w:val="decimal"/>
      <w:lvlText w:val="%1."/>
      <w:lvlJc w:val="left"/>
      <w:pPr>
        <w:tabs>
          <w:tab w:val="left" w:pos="312"/>
        </w:tabs>
      </w:pPr>
    </w:lvl>
  </w:abstractNum>
  <w:abstractNum w:abstractNumId="1">
    <w:nsid w:val="A6A046B1"/>
    <w:multiLevelType w:val="singleLevel"/>
    <w:tmpl w:val="A6A046B1"/>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F8323A"/>
    <w:rsid w:val="00A56D63"/>
    <w:rsid w:val="03C34986"/>
    <w:rsid w:val="128E498E"/>
    <w:rsid w:val="12F8323A"/>
    <w:rsid w:val="16532774"/>
    <w:rsid w:val="17B23254"/>
    <w:rsid w:val="1814092F"/>
    <w:rsid w:val="1D1842E5"/>
    <w:rsid w:val="1D5535B1"/>
    <w:rsid w:val="24A1314D"/>
    <w:rsid w:val="27B02FE6"/>
    <w:rsid w:val="2D6E77C7"/>
    <w:rsid w:val="36B93B84"/>
    <w:rsid w:val="3C6B11B8"/>
    <w:rsid w:val="493407A3"/>
    <w:rsid w:val="4FAF1218"/>
    <w:rsid w:val="76F8431C"/>
    <w:rsid w:val="7C4435C0"/>
    <w:rsid w:val="7E027D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1624"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3">
    <w:name w:val="heading 3"/>
    <w:basedOn w:val="1"/>
    <w:next w:val="1"/>
    <w:unhideWhenUsed/>
    <w:qFormat/>
    <w:uiPriority w:val="0"/>
    <w:pPr>
      <w:keepNext/>
      <w:keepLines/>
      <w:spacing w:line="240" w:lineRule="auto"/>
      <w:outlineLvl w:val="2"/>
    </w:pPr>
    <w:rPr>
      <w:b/>
      <w:bCs/>
      <w:sz w:val="32"/>
      <w:szCs w:val="32"/>
    </w:rPr>
  </w:style>
  <w:style w:type="paragraph" w:styleId="4">
    <w:name w:val="heading 4"/>
    <w:basedOn w:val="1"/>
    <w:next w:val="1"/>
    <w:unhideWhenUsed/>
    <w:qFormat/>
    <w:uiPriority w:val="0"/>
    <w:pPr>
      <w:keepNext/>
      <w:keepLines/>
      <w:outlineLvl w:val="3"/>
    </w:pPr>
    <w:rPr>
      <w:rFonts w:asciiTheme="majorHAnsi" w:hAnsiTheme="majorHAnsi" w:eastAsiaTheme="majorEastAsia" w:cstheme="majorBidi"/>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Plain Text"/>
    <w:basedOn w:val="1"/>
    <w:qFormat/>
    <w:uiPriority w:val="1624"/>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39"/>
    <w:pPr>
      <w:spacing w:before="120" w:after="120"/>
    </w:pPr>
    <w:rPr>
      <w:rFonts w:ascii="Times New Roman" w:hAnsi="Times New Roman" w:eastAsia="宋体" w:cs="Times New Roman"/>
      <w:b/>
      <w:caps/>
      <w:szCs w:val="20"/>
    </w:rPr>
  </w:style>
  <w:style w:type="paragraph" w:styleId="10">
    <w:name w:val="toc 2"/>
    <w:basedOn w:val="1"/>
    <w:next w:val="1"/>
    <w:qFormat/>
    <w:uiPriority w:val="0"/>
    <w:pPr>
      <w:ind w:left="420" w:leftChars="200"/>
    </w:pPr>
  </w:style>
  <w:style w:type="paragraph" w:customStyle="1" w:styleId="13">
    <w:name w:val="隐标格式"/>
    <w:basedOn w:val="6"/>
    <w:qFormat/>
    <w:uiPriority w:val="1667"/>
    <w:pPr>
      <w:snapToGrid w:val="0"/>
      <w:spacing w:line="480" w:lineRule="exact"/>
      <w:ind w:firstLine="560"/>
    </w:pPr>
    <w:rPr>
      <w:rFonts w:hAnsi="宋体"/>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kern w:val="0"/>
      <w:sz w:val="32"/>
      <w:szCs w:val="32"/>
    </w:rPr>
  </w:style>
  <w:style w:type="character" w:customStyle="1" w:styleId="15">
    <w:name w:val="font51"/>
    <w:basedOn w:val="12"/>
    <w:qFormat/>
    <w:uiPriority w:val="0"/>
    <w:rPr>
      <w:rFonts w:hint="eastAsia" w:ascii="宋体" w:hAnsi="宋体" w:eastAsia="宋体" w:cs="宋体"/>
      <w:b/>
      <w:color w:val="000000"/>
      <w:sz w:val="24"/>
      <w:szCs w:val="24"/>
      <w:u w:val="none"/>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 w:type="paragraph" w:customStyle="1" w:styleId="18">
    <w:name w:val="文本"/>
    <w:basedOn w:val="1"/>
    <w:next w:val="1"/>
    <w:qFormat/>
    <w:uiPriority w:val="0"/>
    <w:pPr>
      <w:jc w:val="left"/>
    </w:pPr>
    <w:rPr>
      <w:rFonts w:ascii="宋体"/>
      <w:spacing w:val="4"/>
    </w:rPr>
  </w:style>
  <w:style w:type="paragraph" w:styleId="19">
    <w:name w:val="No Spacing"/>
    <w:qFormat/>
    <w:uiPriority w:val="1"/>
    <w:pPr>
      <w:widowControl w:val="0"/>
      <w:jc w:val="center"/>
    </w:pPr>
    <w:rPr>
      <w:rFonts w:asciiTheme="minorEastAsia" w:hAnsiTheme="minorHAnsi" w:eastAsiaTheme="minorEastAsia"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154</Words>
  <Characters>160</Characters>
  <Lines>0</Lines>
  <Paragraphs>0</Paragraphs>
  <TotalTime>0</TotalTime>
  <ScaleCrop>false</ScaleCrop>
  <LinksUpToDate>false</LinksUpToDate>
  <CharactersWithSpaces>214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2025-05-25T05:40:00Z</dcterms:created>
  <dc:creator>【原木行者•孙】</dc:creator>
  <cp:lastModifiedBy>yangly</cp:lastModifiedBy>
  <dcterms:modified xsi:type="dcterms:W3CDTF">2025-06-04T10:14:19Z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eyJoZGlkIjoiMzhhMjgyZTliMmQyMWU0NTY0MGZlZTY4NDNlNWQ0YjciLCJ1c2VySWQiOiI0Mjk3NTc3MjcifQ==</vt:lpwstr>
  </property>
  <property fmtid="{D5CDD505-2E9C-101B-9397-08002B2CF9AE}" pid="4" name="ICV">
    <vt:lpwstr>77311BE630D949609C4648379E744CBA_12</vt:lpwstr>
  </property>
</Properties>
</file>